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51" w:rsidRDefault="00480051" w:rsidP="00480051">
      <w:pPr>
        <w:jc w:val="both"/>
      </w:pPr>
      <w:r>
        <w:t xml:space="preserve">                 </w:t>
      </w:r>
      <w:r>
        <w:object w:dxaOrig="737" w:dyaOrig="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6" o:title=""/>
          </v:shape>
          <o:OLEObject Type="Embed" ProgID="Word.Picture.8" ShapeID="_x0000_i1025" DrawAspect="Content" ObjectID="_1835854907" r:id="rId7"/>
        </w:object>
      </w:r>
    </w:p>
    <w:p w:rsidR="00480051" w:rsidRPr="00F07962" w:rsidRDefault="00480051" w:rsidP="00480051">
      <w:pPr>
        <w:jc w:val="both"/>
      </w:pPr>
      <w:r w:rsidRPr="00F07962">
        <w:t xml:space="preserve">REPUBLIKA HRVATSKA                                                                                    </w:t>
      </w:r>
    </w:p>
    <w:p w:rsidR="00480051" w:rsidRDefault="00480051" w:rsidP="00480051">
      <w:pPr>
        <w:jc w:val="both"/>
      </w:pPr>
      <w:r w:rsidRPr="00F07962">
        <w:t>VARAŽDINSKA ŽUPANIJA</w:t>
      </w:r>
    </w:p>
    <w:p w:rsidR="00B80E31" w:rsidRDefault="00B80E31" w:rsidP="00B80E31">
      <w:pPr>
        <w:jc w:val="both"/>
      </w:pPr>
      <w:r>
        <w:t>OŠ IVANA RANGERA</w:t>
      </w:r>
      <w:bookmarkStart w:id="0" w:name="_GoBack"/>
      <w:bookmarkEnd w:id="0"/>
    </w:p>
    <w:p w:rsidR="00B80E31" w:rsidRPr="00F07962" w:rsidRDefault="00B80E31" w:rsidP="00B80E31">
      <w:pPr>
        <w:jc w:val="both"/>
      </w:pPr>
      <w:r>
        <w:t>KAMENICA</w:t>
      </w:r>
    </w:p>
    <w:p w:rsidR="00230DEC" w:rsidRPr="005565C6" w:rsidRDefault="00230DEC" w:rsidP="00230DEC">
      <w:pPr>
        <w:jc w:val="both"/>
      </w:pPr>
      <w:r w:rsidRPr="005565C6">
        <w:t xml:space="preserve">KLASA: </w:t>
      </w:r>
      <w:r w:rsidR="005565C6" w:rsidRPr="005565C6">
        <w:t>400-02/26</w:t>
      </w:r>
      <w:r w:rsidR="00E07F86" w:rsidRPr="005565C6">
        <w:t>-01/2</w:t>
      </w:r>
    </w:p>
    <w:p w:rsidR="00230DEC" w:rsidRPr="005565C6" w:rsidRDefault="00230DEC" w:rsidP="00230DEC">
      <w:pPr>
        <w:jc w:val="both"/>
      </w:pPr>
      <w:r w:rsidRPr="005565C6">
        <w:t xml:space="preserve">URBROJ: </w:t>
      </w:r>
      <w:r w:rsidR="004362AC" w:rsidRPr="005565C6">
        <w:t>2186-120-03-2</w:t>
      </w:r>
      <w:r w:rsidR="005565C6" w:rsidRPr="005565C6">
        <w:t>6</w:t>
      </w:r>
      <w:r w:rsidR="00E57E64" w:rsidRPr="005565C6">
        <w:t>-1</w:t>
      </w:r>
    </w:p>
    <w:p w:rsidR="00230DEC" w:rsidRPr="005565C6" w:rsidRDefault="00230DEC" w:rsidP="00230DEC">
      <w:pPr>
        <w:jc w:val="both"/>
      </w:pPr>
      <w:r w:rsidRPr="005565C6">
        <w:t>Kamenica,</w:t>
      </w:r>
      <w:r w:rsidR="004362AC" w:rsidRPr="005565C6">
        <w:t xml:space="preserve"> </w:t>
      </w:r>
      <w:r w:rsidR="005565C6" w:rsidRPr="005565C6">
        <w:t>30.</w:t>
      </w:r>
      <w:r w:rsidR="004362AC" w:rsidRPr="005565C6">
        <w:t>03.202</w:t>
      </w:r>
      <w:r w:rsidR="005565C6" w:rsidRPr="005565C6">
        <w:t>6</w:t>
      </w:r>
      <w:r w:rsidRPr="005565C6">
        <w:t>.</w:t>
      </w:r>
    </w:p>
    <w:p w:rsidR="00480051" w:rsidRDefault="00480051" w:rsidP="00480051">
      <w:pPr>
        <w:jc w:val="both"/>
      </w:pPr>
    </w:p>
    <w:p w:rsidR="00774E35" w:rsidRPr="005565C6" w:rsidRDefault="00934152" w:rsidP="00774E35">
      <w:pPr>
        <w:ind w:firstLine="708"/>
        <w:jc w:val="both"/>
      </w:pPr>
      <w:r w:rsidRPr="005565C6">
        <w:t xml:space="preserve">Temeljem </w:t>
      </w:r>
      <w:r w:rsidR="00774E35" w:rsidRPr="005565C6">
        <w:t xml:space="preserve">članka </w:t>
      </w:r>
      <w:r w:rsidR="00D62C1C" w:rsidRPr="005565C6">
        <w:t>215. st. 6</w:t>
      </w:r>
      <w:r w:rsidRPr="005565C6">
        <w:t xml:space="preserve">. </w:t>
      </w:r>
      <w:r w:rsidR="00774E35" w:rsidRPr="005565C6">
        <w:t xml:space="preserve">Pravilnika </w:t>
      </w:r>
      <w:r w:rsidR="00D62C1C" w:rsidRPr="005565C6">
        <w:t>o proračunskom računovodstvu i R</w:t>
      </w:r>
      <w:r w:rsidR="00774E35" w:rsidRPr="005565C6">
        <w:t>ačunskom planu („Narodne novine“ br.</w:t>
      </w:r>
      <w:r w:rsidR="00D62C1C" w:rsidRPr="005565C6">
        <w:t>158/23</w:t>
      </w:r>
      <w:r w:rsidR="00774E35" w:rsidRPr="005565C6">
        <w:t>)</w:t>
      </w:r>
      <w:r w:rsidR="00783B12" w:rsidRPr="005565C6">
        <w:t xml:space="preserve">, </w:t>
      </w:r>
      <w:r w:rsidR="009A7992" w:rsidRPr="005565C6">
        <w:t xml:space="preserve">članka 29. </w:t>
      </w:r>
      <w:r w:rsidR="00783B12" w:rsidRPr="005565C6">
        <w:t>Odluke o izvršavanju Prorač</w:t>
      </w:r>
      <w:r w:rsidR="00D62C1C" w:rsidRPr="005565C6">
        <w:t>una Varaždinske županije za 2025</w:t>
      </w:r>
      <w:r w:rsidR="00783B12" w:rsidRPr="005565C6">
        <w:t>. godinu (Službeni vje</w:t>
      </w:r>
      <w:r w:rsidR="00594BAF" w:rsidRPr="005565C6">
        <w:t>snik Varaždinske županije br. 1</w:t>
      </w:r>
      <w:r w:rsidR="00783B12" w:rsidRPr="005565C6">
        <w:t>0</w:t>
      </w:r>
      <w:r w:rsidR="00D62C1C" w:rsidRPr="005565C6">
        <w:t>4/24</w:t>
      </w:r>
      <w:r w:rsidR="00783B12" w:rsidRPr="005565C6">
        <w:t>)</w:t>
      </w:r>
      <w:r w:rsidR="00250705" w:rsidRPr="005565C6">
        <w:t xml:space="preserve"> </w:t>
      </w:r>
      <w:r w:rsidR="004362AC" w:rsidRPr="005565C6">
        <w:t>i čl. 68</w:t>
      </w:r>
      <w:r w:rsidR="009971C6" w:rsidRPr="005565C6">
        <w:t>. Statuta,</w:t>
      </w:r>
      <w:r w:rsidR="00774E35" w:rsidRPr="005565C6">
        <w:t xml:space="preserve"> Školski odbor</w:t>
      </w:r>
      <w:r w:rsidR="004362AC" w:rsidRPr="005565C6">
        <w:t xml:space="preserve"> na sjednici održanoj </w:t>
      </w:r>
      <w:r w:rsidR="005565C6" w:rsidRPr="005565C6">
        <w:t>30</w:t>
      </w:r>
      <w:r w:rsidR="004362AC" w:rsidRPr="005565C6">
        <w:t>.03.202</w:t>
      </w:r>
      <w:r w:rsidR="005565C6" w:rsidRPr="005565C6">
        <w:t>6</w:t>
      </w:r>
      <w:r w:rsidRPr="005565C6">
        <w:t>.</w:t>
      </w:r>
      <w:r w:rsidR="00774E35" w:rsidRPr="005565C6">
        <w:t>, donosi</w:t>
      </w:r>
      <w:r w:rsidR="005160CD" w:rsidRPr="005565C6">
        <w:t>:</w:t>
      </w:r>
    </w:p>
    <w:p w:rsidR="00480051" w:rsidRPr="00594BAF" w:rsidRDefault="00480051" w:rsidP="00480051">
      <w:pPr>
        <w:jc w:val="center"/>
        <w:rPr>
          <w:color w:val="FF0000"/>
        </w:rPr>
      </w:pPr>
    </w:p>
    <w:p w:rsidR="00480051" w:rsidRDefault="00480051" w:rsidP="00480051">
      <w:pPr>
        <w:jc w:val="center"/>
        <w:rPr>
          <w:b/>
        </w:rPr>
      </w:pPr>
      <w:r w:rsidRPr="00380E40">
        <w:rPr>
          <w:b/>
        </w:rPr>
        <w:t>ODLUK</w:t>
      </w:r>
      <w:r>
        <w:rPr>
          <w:b/>
        </w:rPr>
        <w:t>A</w:t>
      </w:r>
    </w:p>
    <w:p w:rsidR="00480051" w:rsidRDefault="00480051" w:rsidP="00480051">
      <w:pPr>
        <w:jc w:val="center"/>
        <w:rPr>
          <w:b/>
        </w:rPr>
      </w:pPr>
      <w:r>
        <w:rPr>
          <w:b/>
        </w:rPr>
        <w:t xml:space="preserve">o raspodjeli rezultata </w:t>
      </w:r>
      <w:r w:rsidR="00B80E31" w:rsidRPr="00B80E31">
        <w:rPr>
          <w:b/>
        </w:rPr>
        <w:t>OSNOVNE ŠKOLE IVANA RANGERA KAMENICA</w:t>
      </w:r>
    </w:p>
    <w:p w:rsidR="005A5737" w:rsidRDefault="005A5737" w:rsidP="00480051">
      <w:pPr>
        <w:jc w:val="center"/>
        <w:rPr>
          <w:b/>
        </w:rPr>
      </w:pPr>
    </w:p>
    <w:p w:rsidR="00480051" w:rsidRDefault="00480051" w:rsidP="00480051">
      <w:pPr>
        <w:jc w:val="center"/>
        <w:rPr>
          <w:b/>
        </w:rPr>
      </w:pPr>
      <w:r>
        <w:rPr>
          <w:b/>
        </w:rPr>
        <w:t>Članak 1.</w:t>
      </w:r>
    </w:p>
    <w:p w:rsidR="00480051" w:rsidRDefault="00480051" w:rsidP="00480051">
      <w:pPr>
        <w:jc w:val="both"/>
        <w:rPr>
          <w:b/>
        </w:rPr>
      </w:pPr>
    </w:p>
    <w:p w:rsidR="00480051" w:rsidRDefault="00480051" w:rsidP="00480051">
      <w:pPr>
        <w:jc w:val="both"/>
      </w:pPr>
      <w:r w:rsidRPr="00A26808">
        <w:tab/>
      </w:r>
      <w:r w:rsidR="0025487D">
        <w:t>Stanja utvrđena na</w:t>
      </w:r>
      <w:r>
        <w:t xml:space="preserve"> osn</w:t>
      </w:r>
      <w:r w:rsidR="00EC55EB">
        <w:t xml:space="preserve">ovnim računima podskupine 922 </w:t>
      </w:r>
      <w:r w:rsidR="00D16841">
        <w:t xml:space="preserve">i iskazana u </w:t>
      </w:r>
      <w:r>
        <w:t>go</w:t>
      </w:r>
      <w:r w:rsidR="0025487D">
        <w:t>dišnjem</w:t>
      </w:r>
      <w:r w:rsidR="00934152">
        <w:t xml:space="preserve"> Financijskom izvještaju za 202</w:t>
      </w:r>
      <w:r w:rsidR="007272B8">
        <w:t>5</w:t>
      </w:r>
      <w:r>
        <w:t xml:space="preserve">. godinu utvrđena su kako slijedi: </w:t>
      </w:r>
    </w:p>
    <w:p w:rsidR="00250705" w:rsidRDefault="00250705" w:rsidP="00480051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4"/>
        <w:gridCol w:w="4531"/>
        <w:gridCol w:w="2455"/>
      </w:tblGrid>
      <w:tr w:rsidR="00480051" w:rsidTr="003D46E1">
        <w:trPr>
          <w:trHeight w:val="3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80051" w:rsidRPr="004B01FE" w:rsidRDefault="00480051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>Osnovni račun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480051" w:rsidRPr="004B01FE" w:rsidRDefault="00480051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>Naziv računa</w:t>
            </w:r>
          </w:p>
        </w:tc>
        <w:tc>
          <w:tcPr>
            <w:tcW w:w="25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80051" w:rsidRPr="004B01FE" w:rsidRDefault="00480051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 xml:space="preserve">Iznos </w:t>
            </w:r>
            <w:proofErr w:type="spellStart"/>
            <w:r w:rsidR="00C8590B">
              <w:rPr>
                <w:b/>
              </w:rPr>
              <w:t>eur</w:t>
            </w:r>
            <w:proofErr w:type="spellEnd"/>
          </w:p>
        </w:tc>
      </w:tr>
      <w:tr w:rsidR="00480051" w:rsidTr="003D46E1">
        <w:tc>
          <w:tcPr>
            <w:tcW w:w="2093" w:type="dxa"/>
            <w:tcBorders>
              <w:left w:val="single" w:sz="12" w:space="0" w:color="auto"/>
            </w:tcBorders>
          </w:tcPr>
          <w:p w:rsidR="00480051" w:rsidRDefault="00480051" w:rsidP="00934746">
            <w:pPr>
              <w:jc w:val="center"/>
            </w:pPr>
            <w:r>
              <w:t>92211</w:t>
            </w:r>
          </w:p>
        </w:tc>
        <w:tc>
          <w:tcPr>
            <w:tcW w:w="4678" w:type="dxa"/>
          </w:tcPr>
          <w:p w:rsidR="00480051" w:rsidRDefault="00480051" w:rsidP="00480051">
            <w:r>
              <w:t>Višak prihoda poslovanja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:rsidR="00480051" w:rsidRDefault="00480051" w:rsidP="00587D7F">
            <w:pPr>
              <w:jc w:val="center"/>
            </w:pPr>
          </w:p>
        </w:tc>
      </w:tr>
      <w:tr w:rsidR="00480051" w:rsidTr="003D46E1">
        <w:tc>
          <w:tcPr>
            <w:tcW w:w="2093" w:type="dxa"/>
            <w:tcBorders>
              <w:left w:val="single" w:sz="12" w:space="0" w:color="auto"/>
            </w:tcBorders>
          </w:tcPr>
          <w:p w:rsidR="00480051" w:rsidRDefault="00480051" w:rsidP="00934746">
            <w:pPr>
              <w:jc w:val="center"/>
            </w:pPr>
            <w:r>
              <w:t>92212</w:t>
            </w:r>
          </w:p>
        </w:tc>
        <w:tc>
          <w:tcPr>
            <w:tcW w:w="4678" w:type="dxa"/>
          </w:tcPr>
          <w:p w:rsidR="00480051" w:rsidRDefault="00480051" w:rsidP="00480051">
            <w:r>
              <w:t>Višak prihoda od nefinancijske imovine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:rsidR="00480051" w:rsidRDefault="00480051" w:rsidP="00DD7D03">
            <w:pPr>
              <w:jc w:val="center"/>
            </w:pPr>
          </w:p>
        </w:tc>
      </w:tr>
      <w:tr w:rsidR="00C94816" w:rsidTr="003D46E1">
        <w:tc>
          <w:tcPr>
            <w:tcW w:w="2093" w:type="dxa"/>
            <w:tcBorders>
              <w:left w:val="single" w:sz="12" w:space="0" w:color="auto"/>
            </w:tcBorders>
          </w:tcPr>
          <w:p w:rsidR="00C94816" w:rsidRDefault="00C94816" w:rsidP="00D57F77">
            <w:pPr>
              <w:jc w:val="center"/>
            </w:pPr>
            <w:r>
              <w:t>92213</w:t>
            </w:r>
          </w:p>
        </w:tc>
        <w:tc>
          <w:tcPr>
            <w:tcW w:w="4678" w:type="dxa"/>
          </w:tcPr>
          <w:p w:rsidR="00C94816" w:rsidRDefault="00C94816" w:rsidP="00D57F77">
            <w:r>
              <w:t>Višak prihoda od financijske imovine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:rsidR="00C94816" w:rsidRDefault="00C94816" w:rsidP="00934746">
            <w:pPr>
              <w:jc w:val="both"/>
            </w:pPr>
          </w:p>
        </w:tc>
      </w:tr>
      <w:tr w:rsidR="00C94816" w:rsidTr="003D46E1">
        <w:tc>
          <w:tcPr>
            <w:tcW w:w="2093" w:type="dxa"/>
            <w:tcBorders>
              <w:left w:val="single" w:sz="12" w:space="0" w:color="auto"/>
            </w:tcBorders>
          </w:tcPr>
          <w:p w:rsidR="00C94816" w:rsidRDefault="00C94816" w:rsidP="00934746">
            <w:pPr>
              <w:jc w:val="center"/>
            </w:pPr>
            <w:r>
              <w:t>92221</w:t>
            </w:r>
          </w:p>
        </w:tc>
        <w:tc>
          <w:tcPr>
            <w:tcW w:w="4678" w:type="dxa"/>
          </w:tcPr>
          <w:p w:rsidR="00C94816" w:rsidRDefault="00C94816" w:rsidP="00480051">
            <w:r>
              <w:t>Manjak prihoda poslovanja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:rsidR="00C94816" w:rsidRDefault="007272B8" w:rsidP="00594BAF">
            <w:pPr>
              <w:jc w:val="center"/>
            </w:pPr>
            <w:r>
              <w:t>62.253,29</w:t>
            </w:r>
          </w:p>
        </w:tc>
      </w:tr>
      <w:tr w:rsidR="00C94816" w:rsidTr="003D46E1">
        <w:tc>
          <w:tcPr>
            <w:tcW w:w="2093" w:type="dxa"/>
            <w:tcBorders>
              <w:left w:val="single" w:sz="12" w:space="0" w:color="auto"/>
            </w:tcBorders>
          </w:tcPr>
          <w:p w:rsidR="00C94816" w:rsidRDefault="00C94816" w:rsidP="00934746">
            <w:pPr>
              <w:jc w:val="center"/>
            </w:pPr>
            <w:r>
              <w:t>92222</w:t>
            </w:r>
          </w:p>
        </w:tc>
        <w:tc>
          <w:tcPr>
            <w:tcW w:w="4678" w:type="dxa"/>
          </w:tcPr>
          <w:p w:rsidR="00C94816" w:rsidRDefault="00C94816" w:rsidP="00480051">
            <w:r>
              <w:t>Manjak prihoda od nefinancijske imovine</w:t>
            </w:r>
          </w:p>
        </w:tc>
        <w:tc>
          <w:tcPr>
            <w:tcW w:w="2517" w:type="dxa"/>
            <w:tcBorders>
              <w:right w:val="single" w:sz="12" w:space="0" w:color="auto"/>
            </w:tcBorders>
          </w:tcPr>
          <w:p w:rsidR="00C94816" w:rsidRDefault="007272B8" w:rsidP="00250705">
            <w:pPr>
              <w:jc w:val="center"/>
            </w:pPr>
            <w:r>
              <w:t>1.829,48</w:t>
            </w:r>
          </w:p>
        </w:tc>
      </w:tr>
      <w:tr w:rsidR="00C94816" w:rsidTr="003D46E1">
        <w:tc>
          <w:tcPr>
            <w:tcW w:w="2093" w:type="dxa"/>
            <w:tcBorders>
              <w:left w:val="single" w:sz="12" w:space="0" w:color="auto"/>
              <w:bottom w:val="double" w:sz="4" w:space="0" w:color="auto"/>
            </w:tcBorders>
          </w:tcPr>
          <w:p w:rsidR="00C94816" w:rsidRDefault="00C94816" w:rsidP="00934746">
            <w:pPr>
              <w:jc w:val="center"/>
            </w:pPr>
            <w:r>
              <w:t>92223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C94816" w:rsidRDefault="00C94816" w:rsidP="00480051">
            <w:r>
              <w:t>Manjak primitaka od financijske imovine</w:t>
            </w:r>
          </w:p>
        </w:tc>
        <w:tc>
          <w:tcPr>
            <w:tcW w:w="2517" w:type="dxa"/>
            <w:tcBorders>
              <w:bottom w:val="double" w:sz="4" w:space="0" w:color="auto"/>
              <w:right w:val="single" w:sz="12" w:space="0" w:color="auto"/>
            </w:tcBorders>
          </w:tcPr>
          <w:p w:rsidR="00C94816" w:rsidRDefault="00C94816" w:rsidP="00934746">
            <w:pPr>
              <w:jc w:val="both"/>
            </w:pPr>
          </w:p>
        </w:tc>
      </w:tr>
      <w:tr w:rsidR="00C94816" w:rsidTr="003D46E1">
        <w:tc>
          <w:tcPr>
            <w:tcW w:w="209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94816" w:rsidRPr="004B01FE" w:rsidRDefault="00C94816" w:rsidP="00934746">
            <w:pPr>
              <w:jc w:val="center"/>
              <w:rPr>
                <w:b/>
              </w:rPr>
            </w:pPr>
            <w:r w:rsidRPr="004B01FE">
              <w:rPr>
                <w:b/>
              </w:rPr>
              <w:t>UKUPNO</w:t>
            </w:r>
          </w:p>
        </w:tc>
        <w:tc>
          <w:tcPr>
            <w:tcW w:w="4678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94816" w:rsidRPr="004B01FE" w:rsidRDefault="00C94816" w:rsidP="00BE5AC9">
            <w:pPr>
              <w:jc w:val="center"/>
              <w:rPr>
                <w:b/>
              </w:rPr>
            </w:pPr>
            <w:r w:rsidRPr="004B01FE">
              <w:rPr>
                <w:b/>
              </w:rPr>
              <w:t>Višak prihoda</w:t>
            </w:r>
          </w:p>
        </w:tc>
        <w:tc>
          <w:tcPr>
            <w:tcW w:w="25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94816" w:rsidRPr="004B01FE" w:rsidRDefault="007272B8" w:rsidP="000E72F2">
            <w:pPr>
              <w:jc w:val="center"/>
              <w:rPr>
                <w:b/>
              </w:rPr>
            </w:pPr>
            <w:r>
              <w:rPr>
                <w:b/>
              </w:rPr>
              <w:t>64.082,77</w:t>
            </w:r>
          </w:p>
        </w:tc>
      </w:tr>
    </w:tbl>
    <w:p w:rsidR="00480051" w:rsidRDefault="00480051" w:rsidP="00480051">
      <w:pPr>
        <w:jc w:val="both"/>
      </w:pPr>
    </w:p>
    <w:p w:rsidR="00480051" w:rsidRPr="005A5737" w:rsidRDefault="00480051" w:rsidP="00264C8F">
      <w:pPr>
        <w:jc w:val="center"/>
        <w:rPr>
          <w:b/>
        </w:rPr>
      </w:pPr>
      <w:r w:rsidRPr="005A5737">
        <w:rPr>
          <w:b/>
        </w:rPr>
        <w:t>Članak 2.</w:t>
      </w:r>
    </w:p>
    <w:p w:rsidR="005A5737" w:rsidRPr="005A5737" w:rsidRDefault="005A5737" w:rsidP="00480051">
      <w:pPr>
        <w:jc w:val="center"/>
        <w:rPr>
          <w:b/>
        </w:rPr>
      </w:pPr>
    </w:p>
    <w:p w:rsidR="00264C8F" w:rsidRDefault="00480051" w:rsidP="00480051">
      <w:r>
        <w:tab/>
        <w:t>Rezultat iz članka 1. ove Odluke raspoređuje se prema izvorima financiranja kako slijedi:</w:t>
      </w:r>
    </w:p>
    <w:p w:rsidR="00264C8F" w:rsidRDefault="00264C8F" w:rsidP="00480051"/>
    <w:tbl>
      <w:tblPr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686"/>
        <w:gridCol w:w="1558"/>
      </w:tblGrid>
      <w:tr w:rsidR="000E108D" w:rsidRPr="004B01FE" w:rsidTr="00712015">
        <w:trPr>
          <w:trHeight w:val="895"/>
          <w:tblHeader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108D" w:rsidRPr="00F82834" w:rsidRDefault="000E108D" w:rsidP="00085A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82834">
              <w:rPr>
                <w:b/>
                <w:color w:val="000000"/>
                <w:sz w:val="20"/>
                <w:szCs w:val="20"/>
              </w:rPr>
              <w:t>Vrsta financijskog plana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E108D" w:rsidRPr="004B01FE" w:rsidRDefault="000E108D" w:rsidP="00085A65">
            <w:pPr>
              <w:ind w:right="-93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Izvor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E108D" w:rsidRPr="004B01FE" w:rsidRDefault="000E108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Namjena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E108D" w:rsidRPr="004B01FE" w:rsidRDefault="000E108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Iznos</w:t>
            </w:r>
            <w:r w:rsidR="00934152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8590B">
              <w:rPr>
                <w:b/>
                <w:color w:val="000000"/>
                <w:sz w:val="22"/>
                <w:szCs w:val="22"/>
              </w:rPr>
              <w:t>eur</w:t>
            </w:r>
            <w:proofErr w:type="spellEnd"/>
          </w:p>
        </w:tc>
      </w:tr>
      <w:tr w:rsidR="0025487D" w:rsidRPr="004B01FE" w:rsidTr="00D2660F">
        <w:trPr>
          <w:trHeight w:val="8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ŽUPANIJSKI PRORAČUN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11</w:t>
            </w:r>
          </w:p>
          <w:p w:rsidR="0025487D" w:rsidRPr="004B01FE" w:rsidRDefault="0025487D" w:rsidP="002548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7D03" w:rsidRPr="004B01FE" w:rsidRDefault="00DD7D03" w:rsidP="00085A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5487D" w:rsidRPr="0095197B" w:rsidRDefault="0025487D" w:rsidP="00F63336">
            <w:pPr>
              <w:jc w:val="center"/>
              <w:rPr>
                <w:sz w:val="22"/>
                <w:szCs w:val="22"/>
              </w:rPr>
            </w:pPr>
          </w:p>
        </w:tc>
      </w:tr>
      <w:tr w:rsidR="00264C8F" w:rsidRPr="004B01FE" w:rsidTr="00D2660F">
        <w:trPr>
          <w:trHeight w:val="82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64C8F" w:rsidRPr="004B01FE" w:rsidRDefault="00264C8F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C8F" w:rsidRDefault="00264C8F" w:rsidP="00264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1151</w:t>
            </w:r>
          </w:p>
          <w:p w:rsidR="00264C8F" w:rsidRPr="004B01FE" w:rsidRDefault="00264C8F" w:rsidP="00264C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Predfinanciranje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/refundacija EU projekt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4C8F" w:rsidRDefault="00264C8F" w:rsidP="00264C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Rashodi za plaću za prosinac 2025. godine asistentima u nastavi. Sredstva su dobivena u siječnju 2026. godine.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64C8F" w:rsidRPr="00264C8F" w:rsidRDefault="00264C8F" w:rsidP="00264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  <w:r w:rsidRPr="00264C8F">
              <w:rPr>
                <w:sz w:val="22"/>
                <w:szCs w:val="22"/>
              </w:rPr>
              <w:t>3.894,17</w:t>
            </w:r>
          </w:p>
        </w:tc>
      </w:tr>
      <w:tr w:rsidR="0025487D" w:rsidRPr="004B01FE" w:rsidTr="0025487D">
        <w:trPr>
          <w:trHeight w:val="48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487D" w:rsidRPr="004B01FE" w:rsidRDefault="0025487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487D" w:rsidRPr="004B01FE" w:rsidRDefault="00D04E41" w:rsidP="002548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44</w:t>
            </w:r>
          </w:p>
          <w:p w:rsidR="0025487D" w:rsidRPr="004B01FE" w:rsidRDefault="00D04E41" w:rsidP="0025487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Decentralizirana sredstva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1DF8" w:rsidRPr="004B01FE" w:rsidRDefault="005C7AB9" w:rsidP="00264C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Materijalni rashodi</w:t>
            </w:r>
            <w:r w:rsidR="00A01DF8">
              <w:rPr>
                <w:color w:val="000000"/>
                <w:sz w:val="22"/>
                <w:szCs w:val="22"/>
              </w:rPr>
              <w:t xml:space="preserve"> </w:t>
            </w:r>
            <w:r w:rsidR="00264C8F">
              <w:rPr>
                <w:color w:val="000000"/>
                <w:sz w:val="22"/>
                <w:szCs w:val="22"/>
              </w:rPr>
              <w:t>za 2025</w:t>
            </w:r>
            <w:r w:rsidR="00250705">
              <w:rPr>
                <w:color w:val="000000"/>
                <w:sz w:val="22"/>
                <w:szCs w:val="22"/>
              </w:rPr>
              <w:t xml:space="preserve">. godinu </w:t>
            </w:r>
            <w:r>
              <w:rPr>
                <w:color w:val="000000"/>
                <w:sz w:val="22"/>
                <w:szCs w:val="22"/>
              </w:rPr>
              <w:t>koji su podmireni i za koje su s</w:t>
            </w:r>
            <w:r w:rsidR="00264C8F">
              <w:rPr>
                <w:color w:val="000000"/>
                <w:sz w:val="22"/>
                <w:szCs w:val="22"/>
              </w:rPr>
              <w:t>redstva dobivena u siječnju 2026</w:t>
            </w:r>
            <w:r>
              <w:rPr>
                <w:color w:val="000000"/>
                <w:sz w:val="22"/>
                <w:szCs w:val="22"/>
              </w:rPr>
              <w:t>. godine</w:t>
            </w:r>
            <w:r w:rsidR="00A01DF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5487D" w:rsidRPr="0095197B" w:rsidRDefault="00264C8F" w:rsidP="00F63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-721,76</w:t>
            </w:r>
          </w:p>
        </w:tc>
      </w:tr>
      <w:tr w:rsidR="00B75198" w:rsidRPr="004B01FE" w:rsidTr="0025487D">
        <w:trPr>
          <w:trHeight w:val="487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75198" w:rsidRPr="004B01FE" w:rsidRDefault="00B75198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5198" w:rsidRPr="004B01FE" w:rsidRDefault="00B75198" w:rsidP="00B751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51</w:t>
            </w:r>
          </w:p>
          <w:p w:rsidR="00B75198" w:rsidRDefault="00B75198" w:rsidP="00B751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Pomoći EU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5198" w:rsidRDefault="00B75198" w:rsidP="00264C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5198" w:rsidRDefault="00B75198" w:rsidP="00F63336">
            <w:pPr>
              <w:jc w:val="center"/>
              <w:rPr>
                <w:sz w:val="22"/>
                <w:szCs w:val="22"/>
              </w:rPr>
            </w:pPr>
          </w:p>
        </w:tc>
      </w:tr>
      <w:tr w:rsidR="000E108D" w:rsidRPr="004B01FE" w:rsidTr="00085A65">
        <w:trPr>
          <w:trHeight w:val="441"/>
        </w:trPr>
        <w:tc>
          <w:tcPr>
            <w:tcW w:w="3969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108D" w:rsidRPr="004B01FE" w:rsidRDefault="000E108D" w:rsidP="00085A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ŽUPANIJSKI PRORAČUN UKUPNO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E108D" w:rsidRPr="004B01FE" w:rsidRDefault="000E108D" w:rsidP="00085A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08D" w:rsidRPr="00264C8F" w:rsidRDefault="00264C8F" w:rsidP="00264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  <w:r w:rsidRPr="00264C8F">
              <w:rPr>
                <w:sz w:val="22"/>
                <w:szCs w:val="22"/>
              </w:rPr>
              <w:t>4.615,93</w:t>
            </w:r>
          </w:p>
        </w:tc>
      </w:tr>
      <w:tr w:rsidR="007C7428" w:rsidRPr="004B01FE" w:rsidTr="00085A65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VLASTITA I NAMJENSKA SREDSTVA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ind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31</w:t>
            </w:r>
          </w:p>
          <w:p w:rsidR="007C7428" w:rsidRPr="004B01FE" w:rsidRDefault="007C7428" w:rsidP="007C7428">
            <w:pPr>
              <w:ind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D603F3">
            <w:pPr>
              <w:rPr>
                <w:color w:val="000000"/>
                <w:sz w:val="22"/>
                <w:szCs w:val="22"/>
              </w:rPr>
            </w:pPr>
            <w:r w:rsidRPr="00E54523">
              <w:rPr>
                <w:color w:val="000000"/>
                <w:sz w:val="22"/>
                <w:szCs w:val="22"/>
              </w:rPr>
              <w:t>Nabava sitnog inventara i oprem</w:t>
            </w:r>
            <w:r w:rsidR="005C7AB9">
              <w:rPr>
                <w:color w:val="000000"/>
                <w:sz w:val="22"/>
                <w:szCs w:val="22"/>
              </w:rPr>
              <w:t>e za školu i za potrebe nastave,</w:t>
            </w:r>
            <w:r w:rsidR="00132AB9">
              <w:rPr>
                <w:color w:val="000000"/>
                <w:sz w:val="22"/>
                <w:szCs w:val="22"/>
              </w:rPr>
              <w:t xml:space="preserve"> </w:t>
            </w:r>
            <w:r w:rsidR="00D603F3">
              <w:rPr>
                <w:color w:val="000000"/>
                <w:sz w:val="22"/>
                <w:szCs w:val="22"/>
              </w:rPr>
              <w:t>t</w:t>
            </w:r>
            <w:r w:rsidR="0026430C">
              <w:rPr>
                <w:color w:val="000000"/>
                <w:sz w:val="22"/>
                <w:szCs w:val="22"/>
              </w:rPr>
              <w:t>e ostali materijalno financijski rashodi i troškovi koji proizlaze iz poslovanja škole.</w:t>
            </w:r>
          </w:p>
        </w:tc>
        <w:tc>
          <w:tcPr>
            <w:tcW w:w="155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7428" w:rsidRPr="0095197B" w:rsidRDefault="00B75198" w:rsidP="00D00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11.738,87</w:t>
            </w:r>
          </w:p>
        </w:tc>
      </w:tr>
      <w:tr w:rsidR="007C7428" w:rsidRPr="004B01FE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43</w:t>
            </w:r>
          </w:p>
          <w:p w:rsidR="007C7428" w:rsidRPr="004B01FE" w:rsidRDefault="00D04E41" w:rsidP="00D04E4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Ostali p</w:t>
            </w:r>
            <w:r w:rsidR="007C7428" w:rsidRPr="004B01FE">
              <w:rPr>
                <w:b/>
                <w:color w:val="000000"/>
                <w:sz w:val="22"/>
                <w:szCs w:val="22"/>
              </w:rPr>
              <w:t>rihodi za posebne namjene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A406DC" w:rsidP="007C74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Školska kuhinja - zaposlenici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7428" w:rsidRPr="0095197B" w:rsidRDefault="00B75198" w:rsidP="007C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1.861,97</w:t>
            </w:r>
          </w:p>
        </w:tc>
      </w:tr>
      <w:tr w:rsidR="007C7428" w:rsidRPr="004B01FE" w:rsidTr="003A3DB4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51</w:t>
            </w:r>
          </w:p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Pomoći EU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7428" w:rsidRPr="0095197B" w:rsidRDefault="007C7428" w:rsidP="007C7428">
            <w:pPr>
              <w:jc w:val="center"/>
              <w:rPr>
                <w:sz w:val="22"/>
                <w:szCs w:val="22"/>
              </w:rPr>
            </w:pPr>
          </w:p>
        </w:tc>
      </w:tr>
      <w:tr w:rsidR="007C7428" w:rsidRPr="004B01FE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52</w:t>
            </w:r>
          </w:p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Ostale pomoći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95197B" w:rsidP="00A406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Sredstva iz Državnog proračuna</w:t>
            </w:r>
            <w:r w:rsidR="00A406DC">
              <w:rPr>
                <w:color w:val="000000"/>
                <w:sz w:val="22"/>
                <w:szCs w:val="22"/>
              </w:rPr>
              <w:t xml:space="preserve"> za plaće i materijalna prava</w:t>
            </w:r>
            <w:r>
              <w:rPr>
                <w:color w:val="000000"/>
                <w:sz w:val="22"/>
                <w:szCs w:val="22"/>
              </w:rPr>
              <w:t xml:space="preserve">, te iz </w:t>
            </w:r>
            <w:r w:rsidR="00A406DC">
              <w:rPr>
                <w:color w:val="000000"/>
                <w:sz w:val="22"/>
                <w:szCs w:val="22"/>
              </w:rPr>
              <w:t>ostalih proračuna.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7428" w:rsidRPr="0095197B" w:rsidRDefault="004155E5" w:rsidP="007C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-73.419,56</w:t>
            </w:r>
          </w:p>
        </w:tc>
      </w:tr>
      <w:tr w:rsidR="007C7428" w:rsidRPr="004B01FE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61</w:t>
            </w:r>
          </w:p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7428" w:rsidRPr="0095197B" w:rsidRDefault="007C7428" w:rsidP="00F63336">
            <w:pPr>
              <w:rPr>
                <w:sz w:val="22"/>
                <w:szCs w:val="22"/>
              </w:rPr>
            </w:pPr>
          </w:p>
        </w:tc>
      </w:tr>
      <w:tr w:rsidR="007C7428" w:rsidRPr="004B01FE" w:rsidTr="00085A65">
        <w:trPr>
          <w:trHeight w:val="31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71</w:t>
            </w:r>
          </w:p>
          <w:p w:rsidR="007C7428" w:rsidRPr="004B01FE" w:rsidRDefault="007C7428" w:rsidP="007C742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B01FE">
              <w:rPr>
                <w:b/>
                <w:color w:val="000000"/>
                <w:sz w:val="18"/>
                <w:szCs w:val="18"/>
              </w:rPr>
              <w:t xml:space="preserve">Prihodi od prodaje </w:t>
            </w:r>
            <w:r>
              <w:rPr>
                <w:b/>
                <w:color w:val="000000"/>
                <w:sz w:val="18"/>
                <w:szCs w:val="18"/>
              </w:rPr>
              <w:t xml:space="preserve">nefin. imovine </w:t>
            </w:r>
            <w:r w:rsidRPr="004B01FE">
              <w:rPr>
                <w:b/>
                <w:color w:val="000000"/>
                <w:sz w:val="18"/>
                <w:szCs w:val="18"/>
              </w:rPr>
              <w:t>i naknade s osnova osiguranja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Nabava sitnog inventara i opreme za školu.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7428" w:rsidRPr="0095197B" w:rsidRDefault="004155E5" w:rsidP="007C7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351,88</w:t>
            </w:r>
            <w:r w:rsidR="00D46509">
              <w:rPr>
                <w:sz w:val="22"/>
                <w:szCs w:val="22"/>
              </w:rPr>
              <w:t xml:space="preserve"> </w:t>
            </w:r>
          </w:p>
        </w:tc>
      </w:tr>
      <w:tr w:rsidR="007C7428" w:rsidRPr="004B01FE" w:rsidTr="00353E48">
        <w:trPr>
          <w:trHeight w:val="559"/>
        </w:trPr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C7428" w:rsidRPr="004B01FE" w:rsidRDefault="007C7428" w:rsidP="007C74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01FE">
              <w:rPr>
                <w:b/>
                <w:color w:val="000000"/>
                <w:sz w:val="22"/>
                <w:szCs w:val="22"/>
              </w:rPr>
              <w:t>81</w:t>
            </w:r>
          </w:p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Primici</w:t>
            </w:r>
            <w:r w:rsidRPr="004B01FE">
              <w:rPr>
                <w:b/>
                <w:color w:val="000000"/>
                <w:sz w:val="22"/>
                <w:szCs w:val="22"/>
              </w:rPr>
              <w:t xml:space="preserve"> od zaduživanja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C7428" w:rsidRPr="0095197B" w:rsidRDefault="007C7428" w:rsidP="007C7428">
            <w:pPr>
              <w:jc w:val="right"/>
              <w:rPr>
                <w:sz w:val="22"/>
                <w:szCs w:val="22"/>
              </w:rPr>
            </w:pPr>
          </w:p>
        </w:tc>
      </w:tr>
      <w:tr w:rsidR="007C7428" w:rsidRPr="004B01FE" w:rsidTr="00085A65">
        <w:trPr>
          <w:trHeight w:val="441"/>
        </w:trPr>
        <w:tc>
          <w:tcPr>
            <w:tcW w:w="3969" w:type="dxa"/>
            <w:gridSpan w:val="2"/>
            <w:tcBorders>
              <w:top w:val="double" w:sz="6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7428" w:rsidRPr="004B01FE" w:rsidRDefault="007C7428" w:rsidP="007C74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VLASTITA I NAMJENSKA SREDSTVA UKUPNO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7428" w:rsidRPr="004B01FE" w:rsidRDefault="007C7428" w:rsidP="007C74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7428" w:rsidRPr="0095197B" w:rsidRDefault="004155E5" w:rsidP="00D46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-59.466,84</w:t>
            </w:r>
          </w:p>
        </w:tc>
      </w:tr>
    </w:tbl>
    <w:p w:rsidR="00BE5AC9" w:rsidRDefault="00BE5AC9" w:rsidP="00480051"/>
    <w:p w:rsidR="00132AB9" w:rsidRDefault="00132AB9" w:rsidP="00480051">
      <w:pPr>
        <w:jc w:val="center"/>
        <w:rPr>
          <w:b/>
        </w:rPr>
      </w:pPr>
    </w:p>
    <w:p w:rsidR="00480051" w:rsidRDefault="00480051" w:rsidP="00480051">
      <w:pPr>
        <w:jc w:val="center"/>
        <w:rPr>
          <w:b/>
        </w:rPr>
      </w:pPr>
      <w:r>
        <w:rPr>
          <w:b/>
        </w:rPr>
        <w:t>Članak 3.</w:t>
      </w:r>
    </w:p>
    <w:p w:rsidR="00480051" w:rsidRDefault="00480051" w:rsidP="00480051">
      <w:pPr>
        <w:jc w:val="both"/>
        <w:rPr>
          <w:b/>
        </w:rPr>
      </w:pPr>
    </w:p>
    <w:p w:rsidR="00480051" w:rsidRDefault="00480051" w:rsidP="00480051">
      <w:pPr>
        <w:jc w:val="both"/>
      </w:pPr>
      <w:r w:rsidRPr="00A26808">
        <w:tab/>
      </w:r>
      <w:r w:rsidR="00A406DC">
        <w:t>Manjak</w:t>
      </w:r>
      <w:r>
        <w:t xml:space="preserve"> prihoda u ukupnom iznosu od </w:t>
      </w:r>
      <w:r w:rsidR="00464B76">
        <w:t>64.082</w:t>
      </w:r>
      <w:r w:rsidR="00A406DC">
        <w:t>,77</w:t>
      </w:r>
      <w:r w:rsidR="00C8590B">
        <w:t xml:space="preserve"> </w:t>
      </w:r>
      <w:r w:rsidR="00D46509">
        <w:t>eur</w:t>
      </w:r>
      <w:r w:rsidR="00044CEE">
        <w:t>a</w:t>
      </w:r>
      <w:r>
        <w:t xml:space="preserve"> uključit će se sukladno izvoru i namjeni iz prethodnog članka ove Odluke </w:t>
      </w:r>
      <w:r w:rsidR="00624170">
        <w:t>u F</w:t>
      </w:r>
      <w:r w:rsidR="0025487D">
        <w:t xml:space="preserve">inancijski </w:t>
      </w:r>
      <w:r w:rsidR="00A406DC">
        <w:t>plan škole za 2026</w:t>
      </w:r>
      <w:r>
        <w:t>. godinu.</w:t>
      </w:r>
    </w:p>
    <w:p w:rsidR="00480051" w:rsidRDefault="00480051" w:rsidP="00480051">
      <w:pPr>
        <w:jc w:val="both"/>
      </w:pPr>
    </w:p>
    <w:p w:rsidR="00480051" w:rsidRDefault="00480051" w:rsidP="00480051">
      <w:pPr>
        <w:jc w:val="center"/>
        <w:rPr>
          <w:b/>
        </w:rPr>
      </w:pPr>
      <w:r>
        <w:rPr>
          <w:b/>
        </w:rPr>
        <w:t>Članak 4.</w:t>
      </w:r>
    </w:p>
    <w:p w:rsidR="00480051" w:rsidRDefault="00480051" w:rsidP="00480051">
      <w:pPr>
        <w:jc w:val="both"/>
        <w:rPr>
          <w:b/>
        </w:rPr>
      </w:pPr>
    </w:p>
    <w:p w:rsidR="00480051" w:rsidRPr="00700AB5" w:rsidRDefault="00480051" w:rsidP="00700AB5">
      <w:pPr>
        <w:ind w:firstLine="708"/>
        <w:jc w:val="both"/>
      </w:pPr>
      <w:r>
        <w:t>Ova Odluka stupa na snagu danom donošenja i dostavit će se u roku od osam dana od dana donošenja Varaždinskoj županiji na suglasnost.</w:t>
      </w:r>
    </w:p>
    <w:p w:rsidR="00480051" w:rsidRDefault="00480051" w:rsidP="00480051">
      <w:pPr>
        <w:jc w:val="both"/>
        <w:rPr>
          <w:b/>
        </w:rPr>
      </w:pPr>
    </w:p>
    <w:p w:rsidR="00132AB9" w:rsidRDefault="00132AB9" w:rsidP="00480051">
      <w:pPr>
        <w:ind w:left="5664" w:firstLine="708"/>
        <w:jc w:val="both"/>
        <w:rPr>
          <w:b/>
        </w:rPr>
      </w:pPr>
    </w:p>
    <w:p w:rsidR="00132AB9" w:rsidRDefault="00132AB9" w:rsidP="00480051">
      <w:pPr>
        <w:ind w:left="5664" w:firstLine="708"/>
        <w:jc w:val="both"/>
        <w:rPr>
          <w:b/>
        </w:rPr>
      </w:pPr>
    </w:p>
    <w:p w:rsidR="00132AB9" w:rsidRDefault="00132AB9" w:rsidP="00480051">
      <w:pPr>
        <w:ind w:left="5664" w:firstLine="708"/>
        <w:jc w:val="both"/>
        <w:rPr>
          <w:b/>
        </w:rPr>
      </w:pPr>
    </w:p>
    <w:p w:rsidR="00480051" w:rsidRDefault="00480051" w:rsidP="00480051">
      <w:pPr>
        <w:ind w:left="5664" w:firstLine="708"/>
        <w:jc w:val="both"/>
        <w:rPr>
          <w:b/>
        </w:rPr>
      </w:pPr>
      <w:r>
        <w:rPr>
          <w:b/>
        </w:rPr>
        <w:t>PREDSJEDNIK</w:t>
      </w:r>
    </w:p>
    <w:p w:rsidR="00711B51" w:rsidRDefault="00480051" w:rsidP="000E72F2">
      <w:pPr>
        <w:ind w:left="4956" w:firstLine="708"/>
        <w:jc w:val="both"/>
        <w:rPr>
          <w:b/>
        </w:rPr>
      </w:pPr>
      <w:r>
        <w:rPr>
          <w:b/>
        </w:rPr>
        <w:t xml:space="preserve">      ŠKOLSKOG ODBORA</w:t>
      </w:r>
    </w:p>
    <w:p w:rsidR="00353E48" w:rsidRDefault="00EB2B18" w:rsidP="00EB2B18">
      <w:pPr>
        <w:tabs>
          <w:tab w:val="left" w:pos="736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Ivan Štefek</w:t>
      </w:r>
    </w:p>
    <w:p w:rsidR="00EB2B18" w:rsidRDefault="00EB2B18" w:rsidP="00EB2B18">
      <w:pPr>
        <w:tabs>
          <w:tab w:val="left" w:pos="7365"/>
        </w:tabs>
        <w:jc w:val="both"/>
        <w:rPr>
          <w:rFonts w:eastAsiaTheme="minorHAnsi"/>
          <w:lang w:eastAsia="en-US"/>
        </w:rPr>
        <w:sectPr w:rsidR="00EB2B18" w:rsidSect="0025487D">
          <w:pgSz w:w="11906" w:h="16838"/>
          <w:pgMar w:top="1134" w:right="1418" w:bottom="1077" w:left="1418" w:header="709" w:footer="709" w:gutter="0"/>
          <w:cols w:space="708"/>
          <w:docGrid w:linePitch="360"/>
        </w:sectPr>
      </w:pPr>
      <w:r>
        <w:rPr>
          <w:rFonts w:eastAsiaTheme="minorHAnsi"/>
          <w:lang w:eastAsia="en-US"/>
        </w:rPr>
        <w:tab/>
      </w:r>
    </w:p>
    <w:p w:rsidR="000E108D" w:rsidRPr="00264FC8" w:rsidRDefault="000E108D" w:rsidP="000E108D">
      <w:pPr>
        <w:jc w:val="center"/>
        <w:rPr>
          <w:b/>
        </w:rPr>
      </w:pPr>
      <w:r w:rsidRPr="00264FC8">
        <w:rPr>
          <w:b/>
        </w:rPr>
        <w:lastRenderedPageBreak/>
        <w:t>OBRAZLOŽENJE</w:t>
      </w:r>
    </w:p>
    <w:p w:rsidR="000E108D" w:rsidRDefault="000E108D" w:rsidP="000E108D">
      <w:pPr>
        <w:rPr>
          <w:b/>
        </w:rPr>
      </w:pPr>
    </w:p>
    <w:p w:rsidR="000E108D" w:rsidRDefault="000E108D" w:rsidP="000E108D">
      <w:pPr>
        <w:pStyle w:val="Default"/>
      </w:pPr>
    </w:p>
    <w:p w:rsidR="004D6D2D" w:rsidRPr="00250705" w:rsidRDefault="00D24A90" w:rsidP="00782DBA">
      <w:pPr>
        <w:autoSpaceDE w:val="0"/>
        <w:autoSpaceDN w:val="0"/>
        <w:adjustRightInd w:val="0"/>
        <w:ind w:firstLine="708"/>
        <w:jc w:val="both"/>
      </w:pPr>
      <w:r w:rsidRPr="00250705">
        <w:t xml:space="preserve">Prema članku </w:t>
      </w:r>
      <w:r w:rsidR="004C33E3">
        <w:t>215. st. 6.</w:t>
      </w:r>
      <w:r w:rsidRPr="00250705">
        <w:t xml:space="preserve"> Pravilnika </w:t>
      </w:r>
      <w:r w:rsidR="004C33E3">
        <w:t>o proračunskom računovodstvu i R</w:t>
      </w:r>
      <w:r w:rsidRPr="00250705">
        <w:t xml:space="preserve">ačunskom planu („Narodne novine“ br. </w:t>
      </w:r>
      <w:r w:rsidR="004C33E3">
        <w:t>158/23</w:t>
      </w:r>
      <w:r w:rsidRPr="00250705">
        <w:t xml:space="preserve">) </w:t>
      </w:r>
      <w:r w:rsidR="004D6D2D" w:rsidRPr="00250705">
        <w:t xml:space="preserve">rezultat poslovanja ostvaren u proračunskoj godini </w:t>
      </w:r>
      <w:r w:rsidR="00250705">
        <w:t>202</w:t>
      </w:r>
      <w:r w:rsidR="004C33E3">
        <w:t>5</w:t>
      </w:r>
      <w:r w:rsidR="00250705">
        <w:t xml:space="preserve">. godini </w:t>
      </w:r>
      <w:r w:rsidR="004D6D2D" w:rsidRPr="00250705">
        <w:t xml:space="preserve">podmirit će se u </w:t>
      </w:r>
      <w:r w:rsidR="00250705">
        <w:t>202</w:t>
      </w:r>
      <w:r w:rsidR="004C33E3">
        <w:t>6</w:t>
      </w:r>
      <w:r w:rsidR="00250705">
        <w:t>.</w:t>
      </w:r>
      <w:r w:rsidR="00251B29">
        <w:t xml:space="preserve"> </w:t>
      </w:r>
      <w:r w:rsidR="00250705">
        <w:t>godini</w:t>
      </w:r>
      <w:r w:rsidR="004D6D2D" w:rsidRPr="00250705">
        <w:t xml:space="preserve"> u skladu s Odlukom o raspodjeli rezultata i uz pridržavanje ograničenja u skladu s propisima iz područja proračuna.</w:t>
      </w:r>
    </w:p>
    <w:p w:rsidR="000E108D" w:rsidRPr="00250705" w:rsidRDefault="000E108D" w:rsidP="00782DBA">
      <w:pPr>
        <w:autoSpaceDE w:val="0"/>
        <w:autoSpaceDN w:val="0"/>
        <w:adjustRightInd w:val="0"/>
        <w:ind w:firstLine="708"/>
        <w:jc w:val="both"/>
      </w:pPr>
      <w:r w:rsidRPr="00250705">
        <w:rPr>
          <w:rFonts w:eastAsiaTheme="minorHAnsi"/>
          <w:lang w:eastAsia="en-US"/>
        </w:rPr>
        <w:t>Odlukom o raspodj</w:t>
      </w:r>
      <w:r w:rsidR="00D24A90" w:rsidRPr="00250705">
        <w:rPr>
          <w:rFonts w:eastAsiaTheme="minorHAnsi"/>
          <w:lang w:eastAsia="en-US"/>
        </w:rPr>
        <w:t>eli rezultata poslovanja za 202</w:t>
      </w:r>
      <w:r w:rsidR="004C33E3">
        <w:rPr>
          <w:rFonts w:eastAsiaTheme="minorHAnsi"/>
          <w:lang w:eastAsia="en-US"/>
        </w:rPr>
        <w:t>5</w:t>
      </w:r>
      <w:r w:rsidR="00250705">
        <w:rPr>
          <w:rFonts w:eastAsiaTheme="minorHAnsi"/>
          <w:lang w:eastAsia="en-US"/>
        </w:rPr>
        <w:t>. godinu raspoređuju</w:t>
      </w:r>
      <w:r w:rsidRPr="00250705">
        <w:rPr>
          <w:rFonts w:eastAsiaTheme="minorHAnsi"/>
          <w:lang w:eastAsia="en-US"/>
        </w:rPr>
        <w:t xml:space="preserve"> se razlike prihoda i primita</w:t>
      </w:r>
      <w:r w:rsidR="005C7AB9" w:rsidRPr="00250705">
        <w:rPr>
          <w:rFonts w:eastAsiaTheme="minorHAnsi"/>
          <w:lang w:eastAsia="en-US"/>
        </w:rPr>
        <w:t>ka te rashoda i izdataka iz 202</w:t>
      </w:r>
      <w:r w:rsidR="004C33E3">
        <w:rPr>
          <w:rFonts w:eastAsiaTheme="minorHAnsi"/>
          <w:lang w:eastAsia="en-US"/>
        </w:rPr>
        <w:t>5</w:t>
      </w:r>
      <w:r w:rsidRPr="00250705">
        <w:rPr>
          <w:rFonts w:eastAsiaTheme="minorHAnsi"/>
          <w:lang w:eastAsia="en-US"/>
        </w:rPr>
        <w:t xml:space="preserve">. godine u iznosu od </w:t>
      </w:r>
      <w:r w:rsidR="004C33E3">
        <w:rPr>
          <w:rFonts w:eastAsiaTheme="minorHAnsi"/>
          <w:lang w:eastAsia="en-US"/>
        </w:rPr>
        <w:t>64.082,77</w:t>
      </w:r>
      <w:r w:rsidR="00D24A90" w:rsidRPr="00250705">
        <w:rPr>
          <w:rFonts w:eastAsiaTheme="minorHAnsi"/>
          <w:lang w:eastAsia="en-US"/>
        </w:rPr>
        <w:t xml:space="preserve"> eur</w:t>
      </w:r>
      <w:r w:rsidR="00044CEE">
        <w:rPr>
          <w:rFonts w:eastAsiaTheme="minorHAnsi"/>
          <w:lang w:eastAsia="en-US"/>
        </w:rPr>
        <w:t>a</w:t>
      </w:r>
      <w:r w:rsidR="00D24A90" w:rsidRPr="00250705">
        <w:rPr>
          <w:rFonts w:eastAsiaTheme="minorHAnsi"/>
          <w:lang w:eastAsia="en-US"/>
        </w:rPr>
        <w:t xml:space="preserve">. </w:t>
      </w:r>
    </w:p>
    <w:p w:rsidR="000E108D" w:rsidRDefault="000E108D" w:rsidP="000E10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0"/>
      </w:tblGrid>
      <w:tr w:rsidR="000E108D" w:rsidRPr="00E45F75" w:rsidTr="00085A65">
        <w:trPr>
          <w:trHeight w:val="478"/>
        </w:trPr>
        <w:tc>
          <w:tcPr>
            <w:tcW w:w="9286" w:type="dxa"/>
            <w:shd w:val="clear" w:color="auto" w:fill="auto"/>
            <w:vAlign w:val="center"/>
          </w:tcPr>
          <w:p w:rsidR="000E108D" w:rsidRPr="00E45F75" w:rsidRDefault="000E108D" w:rsidP="00E87937">
            <w:pPr>
              <w:numPr>
                <w:ilvl w:val="0"/>
                <w:numId w:val="1"/>
              </w:numPr>
              <w:rPr>
                <w:b/>
                <w:color w:val="17365D"/>
                <w:sz w:val="22"/>
                <w:szCs w:val="22"/>
              </w:rPr>
            </w:pPr>
            <w:r w:rsidRPr="00E45F75">
              <w:rPr>
                <w:b/>
                <w:color w:val="17365D"/>
                <w:sz w:val="22"/>
                <w:szCs w:val="22"/>
              </w:rPr>
              <w:t>OBRAZLOŽENJE</w:t>
            </w:r>
            <w:r>
              <w:rPr>
                <w:b/>
                <w:color w:val="17365D"/>
                <w:sz w:val="22"/>
                <w:szCs w:val="22"/>
              </w:rPr>
              <w:t xml:space="preserve"> NASTANKA </w:t>
            </w:r>
            <w:r w:rsidR="00E87937">
              <w:rPr>
                <w:b/>
                <w:color w:val="17365D"/>
                <w:sz w:val="22"/>
                <w:szCs w:val="22"/>
              </w:rPr>
              <w:t>VIŠKA</w:t>
            </w:r>
            <w:r w:rsidR="00132AB9">
              <w:rPr>
                <w:b/>
                <w:color w:val="17365D"/>
                <w:sz w:val="22"/>
                <w:szCs w:val="22"/>
              </w:rPr>
              <w:t>/MANJKA</w:t>
            </w:r>
          </w:p>
        </w:tc>
      </w:tr>
      <w:tr w:rsidR="000E108D" w:rsidRPr="00E45F75" w:rsidTr="00A07F40">
        <w:trPr>
          <w:trHeight w:val="983"/>
        </w:trPr>
        <w:tc>
          <w:tcPr>
            <w:tcW w:w="9286" w:type="dxa"/>
            <w:shd w:val="clear" w:color="auto" w:fill="auto"/>
            <w:vAlign w:val="center"/>
          </w:tcPr>
          <w:p w:rsidR="005C7AB9" w:rsidRDefault="005C7AB9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852D39" w:rsidRDefault="00852D39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  <w:r w:rsidRPr="00852D39">
              <w:rPr>
                <w:i/>
                <w:color w:val="17365D"/>
                <w:sz w:val="22"/>
                <w:szCs w:val="22"/>
              </w:rPr>
              <w:t>Županijski proračun</w:t>
            </w:r>
          </w:p>
          <w:p w:rsidR="004E63C9" w:rsidRPr="004E63C9" w:rsidRDefault="004E63C9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E610AA" w:rsidRDefault="00E610AA" w:rsidP="00782DBA">
            <w:pPr>
              <w:jc w:val="both"/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>Izvor 11</w:t>
            </w:r>
            <w:r w:rsidR="004C33E3">
              <w:rPr>
                <w:color w:val="17365D"/>
                <w:sz w:val="22"/>
                <w:szCs w:val="22"/>
              </w:rPr>
              <w:t>51</w:t>
            </w:r>
            <w:r>
              <w:rPr>
                <w:color w:val="17365D"/>
                <w:sz w:val="22"/>
                <w:szCs w:val="22"/>
              </w:rPr>
              <w:t xml:space="preserve"> – </w:t>
            </w:r>
            <w:proofErr w:type="spellStart"/>
            <w:r w:rsidR="004C33E3" w:rsidRPr="004C33E3">
              <w:rPr>
                <w:color w:val="17365D"/>
                <w:sz w:val="22"/>
                <w:szCs w:val="22"/>
              </w:rPr>
              <w:t>Predfinanciranje</w:t>
            </w:r>
            <w:proofErr w:type="spellEnd"/>
            <w:r w:rsidR="004C33E3" w:rsidRPr="004C33E3">
              <w:rPr>
                <w:color w:val="17365D"/>
                <w:sz w:val="22"/>
                <w:szCs w:val="22"/>
              </w:rPr>
              <w:t xml:space="preserve">/refundacija EU projekt </w:t>
            </w:r>
            <w:r>
              <w:rPr>
                <w:color w:val="17365D"/>
                <w:sz w:val="22"/>
                <w:szCs w:val="22"/>
              </w:rPr>
              <w:t xml:space="preserve">– </w:t>
            </w:r>
            <w:r w:rsidR="00A30D7B">
              <w:rPr>
                <w:color w:val="17365D"/>
                <w:sz w:val="22"/>
                <w:szCs w:val="22"/>
              </w:rPr>
              <w:t xml:space="preserve"> škola je prema </w:t>
            </w:r>
            <w:r w:rsidR="00DD2677">
              <w:rPr>
                <w:color w:val="17365D"/>
                <w:sz w:val="22"/>
                <w:szCs w:val="22"/>
              </w:rPr>
              <w:t xml:space="preserve">bruto </w:t>
            </w:r>
            <w:r w:rsidR="00A30D7B">
              <w:rPr>
                <w:color w:val="17365D"/>
                <w:sz w:val="22"/>
                <w:szCs w:val="22"/>
              </w:rPr>
              <w:t xml:space="preserve">bilanci na dan </w:t>
            </w:r>
            <w:r w:rsidR="004C33E3">
              <w:rPr>
                <w:color w:val="17365D"/>
                <w:sz w:val="22"/>
                <w:szCs w:val="22"/>
              </w:rPr>
              <w:t>1.1.2026</w:t>
            </w:r>
            <w:r w:rsidR="00DD2677">
              <w:rPr>
                <w:color w:val="17365D"/>
                <w:sz w:val="22"/>
                <w:szCs w:val="22"/>
              </w:rPr>
              <w:t>.</w:t>
            </w:r>
            <w:r w:rsidR="00A30D7B">
              <w:rPr>
                <w:color w:val="17365D"/>
                <w:sz w:val="22"/>
                <w:szCs w:val="22"/>
              </w:rPr>
              <w:t xml:space="preserve"> iskazala</w:t>
            </w:r>
            <w:r w:rsidR="00D54379">
              <w:rPr>
                <w:color w:val="17365D"/>
                <w:sz w:val="22"/>
                <w:szCs w:val="22"/>
              </w:rPr>
              <w:t xml:space="preserve"> metodološki</w:t>
            </w:r>
            <w:r w:rsidR="00A30D7B">
              <w:rPr>
                <w:color w:val="17365D"/>
                <w:sz w:val="22"/>
                <w:szCs w:val="22"/>
              </w:rPr>
              <w:t xml:space="preserve"> manja</w:t>
            </w:r>
            <w:r w:rsidR="00620D70">
              <w:rPr>
                <w:color w:val="17365D"/>
                <w:sz w:val="22"/>
                <w:szCs w:val="22"/>
              </w:rPr>
              <w:t>k</w:t>
            </w:r>
            <w:r w:rsidR="00A30D7B">
              <w:rPr>
                <w:color w:val="17365D"/>
                <w:sz w:val="22"/>
                <w:szCs w:val="22"/>
              </w:rPr>
              <w:t xml:space="preserve"> prihoda pos</w:t>
            </w:r>
            <w:r w:rsidR="00DD2677">
              <w:rPr>
                <w:color w:val="17365D"/>
                <w:sz w:val="22"/>
                <w:szCs w:val="22"/>
              </w:rPr>
              <w:t xml:space="preserve">lovanja na računu 92221 </w:t>
            </w:r>
            <w:r w:rsidR="004E63C9">
              <w:rPr>
                <w:color w:val="17365D"/>
                <w:sz w:val="22"/>
                <w:szCs w:val="22"/>
              </w:rPr>
              <w:t xml:space="preserve">u iznosu od </w:t>
            </w:r>
            <w:r w:rsidR="004C33E3">
              <w:rPr>
                <w:color w:val="17365D"/>
                <w:sz w:val="22"/>
                <w:szCs w:val="22"/>
              </w:rPr>
              <w:t>3.894,17</w:t>
            </w:r>
            <w:r w:rsidR="004E63C9">
              <w:rPr>
                <w:color w:val="17365D"/>
                <w:sz w:val="22"/>
                <w:szCs w:val="22"/>
              </w:rPr>
              <w:t xml:space="preserve"> eur</w:t>
            </w:r>
            <w:r w:rsidR="00044CEE">
              <w:rPr>
                <w:color w:val="17365D"/>
                <w:sz w:val="22"/>
                <w:szCs w:val="22"/>
              </w:rPr>
              <w:t>a</w:t>
            </w:r>
            <w:r w:rsidR="004E63C9">
              <w:rPr>
                <w:color w:val="17365D"/>
                <w:sz w:val="22"/>
                <w:szCs w:val="22"/>
              </w:rPr>
              <w:t xml:space="preserve"> </w:t>
            </w:r>
            <w:r w:rsidR="00DD2677">
              <w:rPr>
                <w:color w:val="17365D"/>
                <w:sz w:val="22"/>
                <w:szCs w:val="22"/>
              </w:rPr>
              <w:t xml:space="preserve">koji </w:t>
            </w:r>
            <w:r w:rsidR="00A30D7B">
              <w:rPr>
                <w:color w:val="17365D"/>
                <w:sz w:val="22"/>
                <w:szCs w:val="22"/>
              </w:rPr>
              <w:t xml:space="preserve">se odnosi na </w:t>
            </w:r>
            <w:r w:rsidR="004C33E3">
              <w:rPr>
                <w:color w:val="17365D"/>
                <w:sz w:val="22"/>
                <w:szCs w:val="22"/>
              </w:rPr>
              <w:t xml:space="preserve">sredstva za </w:t>
            </w:r>
            <w:r w:rsidR="00782DBA">
              <w:rPr>
                <w:color w:val="17365D"/>
                <w:sz w:val="22"/>
                <w:szCs w:val="22"/>
              </w:rPr>
              <w:t xml:space="preserve">rashod </w:t>
            </w:r>
            <w:r w:rsidR="004C33E3">
              <w:rPr>
                <w:color w:val="17365D"/>
                <w:sz w:val="22"/>
                <w:szCs w:val="22"/>
              </w:rPr>
              <w:t>plaće asistenata u nastavi za prosinac 2025</w:t>
            </w:r>
            <w:r>
              <w:rPr>
                <w:color w:val="17365D"/>
                <w:sz w:val="22"/>
                <w:szCs w:val="22"/>
              </w:rPr>
              <w:t>. god</w:t>
            </w:r>
            <w:r w:rsidR="00CF4BF2">
              <w:rPr>
                <w:color w:val="17365D"/>
                <w:sz w:val="22"/>
                <w:szCs w:val="22"/>
              </w:rPr>
              <w:t xml:space="preserve">ine, a za koje je prihod knjižen u siječnju 2026. godine. </w:t>
            </w:r>
          </w:p>
          <w:p w:rsidR="00E610AA" w:rsidRPr="00E610AA" w:rsidRDefault="00E610AA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852D39" w:rsidRDefault="00852D39" w:rsidP="00782DBA">
            <w:pPr>
              <w:jc w:val="both"/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>Izvor 44</w:t>
            </w:r>
            <w:r w:rsidR="007C7428">
              <w:rPr>
                <w:color w:val="17365D"/>
                <w:sz w:val="22"/>
                <w:szCs w:val="22"/>
              </w:rPr>
              <w:t xml:space="preserve"> – </w:t>
            </w:r>
            <w:r>
              <w:rPr>
                <w:color w:val="17365D"/>
                <w:sz w:val="22"/>
                <w:szCs w:val="22"/>
              </w:rPr>
              <w:t xml:space="preserve">Decentralizirana sredstva </w:t>
            </w:r>
            <w:r w:rsidR="00D54379">
              <w:rPr>
                <w:color w:val="17365D"/>
                <w:sz w:val="22"/>
                <w:szCs w:val="22"/>
              </w:rPr>
              <w:t>–</w:t>
            </w:r>
            <w:r w:rsidR="00620D70">
              <w:rPr>
                <w:color w:val="17365D"/>
                <w:sz w:val="22"/>
                <w:szCs w:val="22"/>
              </w:rPr>
              <w:t xml:space="preserve"> </w:t>
            </w:r>
            <w:r w:rsidR="00D54379">
              <w:rPr>
                <w:color w:val="17365D"/>
                <w:sz w:val="22"/>
                <w:szCs w:val="22"/>
              </w:rPr>
              <w:t>škola je pre</w:t>
            </w:r>
            <w:r w:rsidR="004C33E3">
              <w:rPr>
                <w:color w:val="17365D"/>
                <w:sz w:val="22"/>
                <w:szCs w:val="22"/>
              </w:rPr>
              <w:t>ma bruto bilanci na dan 1.1.2026</w:t>
            </w:r>
            <w:r w:rsidR="00CF4BF2">
              <w:rPr>
                <w:color w:val="17365D"/>
                <w:sz w:val="22"/>
                <w:szCs w:val="22"/>
              </w:rPr>
              <w:t>. iskazala</w:t>
            </w:r>
            <w:r w:rsidR="00D54379">
              <w:rPr>
                <w:color w:val="17365D"/>
                <w:sz w:val="22"/>
                <w:szCs w:val="22"/>
              </w:rPr>
              <w:t xml:space="preserve"> metodološki manjak </w:t>
            </w:r>
            <w:r w:rsidR="00CF4BF2">
              <w:rPr>
                <w:color w:val="17365D"/>
                <w:sz w:val="22"/>
                <w:szCs w:val="22"/>
              </w:rPr>
              <w:t>prihoda poslovanja na računu 92221</w:t>
            </w:r>
            <w:r w:rsidR="00D54379">
              <w:rPr>
                <w:color w:val="17365D"/>
                <w:sz w:val="22"/>
                <w:szCs w:val="22"/>
              </w:rPr>
              <w:t xml:space="preserve"> u iznosu od </w:t>
            </w:r>
            <w:r w:rsidR="004C33E3">
              <w:rPr>
                <w:color w:val="17365D"/>
                <w:sz w:val="22"/>
                <w:szCs w:val="22"/>
              </w:rPr>
              <w:t>721,76 eura</w:t>
            </w:r>
            <w:r w:rsidR="00C75A1E">
              <w:rPr>
                <w:color w:val="17365D"/>
                <w:sz w:val="22"/>
                <w:szCs w:val="22"/>
              </w:rPr>
              <w:t xml:space="preserve"> za materijalne </w:t>
            </w:r>
            <w:r w:rsidR="00782DBA">
              <w:rPr>
                <w:color w:val="17365D"/>
                <w:sz w:val="22"/>
                <w:szCs w:val="22"/>
              </w:rPr>
              <w:t>rashode</w:t>
            </w:r>
            <w:r w:rsidR="00C75A1E">
              <w:rPr>
                <w:color w:val="17365D"/>
                <w:sz w:val="22"/>
                <w:szCs w:val="22"/>
              </w:rPr>
              <w:t xml:space="preserve"> </w:t>
            </w:r>
            <w:r w:rsidR="004C33E3">
              <w:rPr>
                <w:color w:val="17365D"/>
                <w:sz w:val="22"/>
                <w:szCs w:val="22"/>
              </w:rPr>
              <w:t>nastale u 2025</w:t>
            </w:r>
            <w:r w:rsidR="00CF4BF2">
              <w:rPr>
                <w:color w:val="17365D"/>
                <w:sz w:val="22"/>
                <w:szCs w:val="22"/>
              </w:rPr>
              <w:t xml:space="preserve">. godini, a za koje je prihod knjižen u siječnju 2026. godine. </w:t>
            </w:r>
          </w:p>
          <w:p w:rsidR="0076586A" w:rsidRDefault="0076586A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852D39" w:rsidRDefault="00852D39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  <w:r w:rsidRPr="00852D39">
              <w:rPr>
                <w:i/>
                <w:color w:val="17365D"/>
                <w:sz w:val="22"/>
                <w:szCs w:val="22"/>
              </w:rPr>
              <w:t>Vlastita i namjenska sredstva</w:t>
            </w:r>
          </w:p>
          <w:p w:rsidR="00DD2677" w:rsidRPr="00852D39" w:rsidRDefault="00DD2677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</w:p>
          <w:p w:rsidR="00A07F40" w:rsidRDefault="00F047BE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F047BE">
              <w:rPr>
                <w:color w:val="17365D"/>
                <w:sz w:val="22"/>
                <w:szCs w:val="22"/>
              </w:rPr>
              <w:t>Izvor 31 - Vlastiti prihodi</w:t>
            </w:r>
            <w:r w:rsidR="00620D70">
              <w:rPr>
                <w:color w:val="17365D"/>
                <w:sz w:val="22"/>
                <w:szCs w:val="22"/>
              </w:rPr>
              <w:t xml:space="preserve"> – </w:t>
            </w:r>
            <w:r w:rsidR="00A07F40">
              <w:rPr>
                <w:color w:val="17365D"/>
                <w:sz w:val="22"/>
                <w:szCs w:val="22"/>
              </w:rPr>
              <w:t>škola je u bruto bilanci na dan 1.</w:t>
            </w:r>
            <w:r w:rsidR="004C33E3">
              <w:rPr>
                <w:color w:val="17365D"/>
                <w:sz w:val="22"/>
                <w:szCs w:val="22"/>
              </w:rPr>
              <w:t>1.2026</w:t>
            </w:r>
            <w:r w:rsidR="00A07F40">
              <w:rPr>
                <w:color w:val="17365D"/>
                <w:sz w:val="22"/>
                <w:szCs w:val="22"/>
              </w:rPr>
              <w:t xml:space="preserve">. godine na računu 92211 iskazala višak prihoda poslovanja u iznosu od </w:t>
            </w:r>
            <w:r w:rsidR="004C33E3">
              <w:rPr>
                <w:color w:val="17365D"/>
                <w:sz w:val="22"/>
                <w:szCs w:val="22"/>
              </w:rPr>
              <w:t>13.829,44</w:t>
            </w:r>
            <w:r w:rsidR="00A07F40">
              <w:rPr>
                <w:color w:val="17365D"/>
                <w:sz w:val="22"/>
                <w:szCs w:val="22"/>
              </w:rPr>
              <w:t xml:space="preserve"> eura koji se odnosi na</w:t>
            </w:r>
            <w:r w:rsidR="00A07F40" w:rsidRPr="00F047BE">
              <w:rPr>
                <w:color w:val="17365D"/>
                <w:sz w:val="22"/>
                <w:szCs w:val="22"/>
              </w:rPr>
              <w:t xml:space="preserve"> neutrošena sredstva od najma stana i najma prostora</w:t>
            </w:r>
            <w:r w:rsidR="004C33E3">
              <w:rPr>
                <w:color w:val="17365D"/>
                <w:sz w:val="22"/>
                <w:szCs w:val="22"/>
              </w:rPr>
              <w:t xml:space="preserve">, te manjak </w:t>
            </w:r>
            <w:r w:rsidR="00A07F40">
              <w:rPr>
                <w:color w:val="17365D"/>
                <w:sz w:val="22"/>
                <w:szCs w:val="22"/>
              </w:rPr>
              <w:t>prihoda od nefinancijske imovine</w:t>
            </w:r>
            <w:r w:rsidR="00CF4BF2">
              <w:rPr>
                <w:color w:val="17365D"/>
                <w:sz w:val="22"/>
                <w:szCs w:val="22"/>
              </w:rPr>
              <w:t xml:space="preserve"> na računu 92222</w:t>
            </w:r>
            <w:r w:rsidR="004C33E3">
              <w:rPr>
                <w:color w:val="17365D"/>
                <w:sz w:val="22"/>
                <w:szCs w:val="22"/>
              </w:rPr>
              <w:t xml:space="preserve"> u iznosu od 2.090,57 eura</w:t>
            </w:r>
            <w:r w:rsidR="003A67DB">
              <w:rPr>
                <w:color w:val="17365D"/>
                <w:sz w:val="22"/>
                <w:szCs w:val="22"/>
              </w:rPr>
              <w:t>.</w:t>
            </w:r>
          </w:p>
          <w:p w:rsidR="00C37F65" w:rsidRDefault="00C37F65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2D41AE" w:rsidRDefault="00F047BE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F047BE">
              <w:rPr>
                <w:color w:val="17365D"/>
                <w:sz w:val="22"/>
                <w:szCs w:val="22"/>
              </w:rPr>
              <w:t xml:space="preserve">Izvor 43 – Prihodi za posebne namjene </w:t>
            </w:r>
            <w:r w:rsidR="00A35C6B">
              <w:rPr>
                <w:color w:val="17365D"/>
                <w:sz w:val="22"/>
                <w:szCs w:val="22"/>
              </w:rPr>
              <w:t xml:space="preserve">– škola je </w:t>
            </w:r>
            <w:r w:rsidR="00DD2677">
              <w:rPr>
                <w:color w:val="17365D"/>
                <w:sz w:val="22"/>
                <w:szCs w:val="22"/>
              </w:rPr>
              <w:t xml:space="preserve">u bruto bilanci </w:t>
            </w:r>
            <w:r w:rsidR="00A35C6B">
              <w:rPr>
                <w:color w:val="17365D"/>
                <w:sz w:val="22"/>
                <w:szCs w:val="22"/>
              </w:rPr>
              <w:t xml:space="preserve">na dan </w:t>
            </w:r>
            <w:r w:rsidR="003A67DB">
              <w:rPr>
                <w:color w:val="17365D"/>
                <w:sz w:val="22"/>
                <w:szCs w:val="22"/>
              </w:rPr>
              <w:t>1.1.2026</w:t>
            </w:r>
            <w:r w:rsidR="00DD2677">
              <w:rPr>
                <w:color w:val="17365D"/>
                <w:sz w:val="22"/>
                <w:szCs w:val="22"/>
              </w:rPr>
              <w:t>.</w:t>
            </w:r>
            <w:r w:rsidR="000C687F">
              <w:rPr>
                <w:color w:val="17365D"/>
                <w:sz w:val="22"/>
                <w:szCs w:val="22"/>
              </w:rPr>
              <w:t xml:space="preserve"> godine na računu 92211</w:t>
            </w:r>
            <w:r w:rsidR="00A35C6B">
              <w:rPr>
                <w:color w:val="17365D"/>
                <w:sz w:val="22"/>
                <w:szCs w:val="22"/>
              </w:rPr>
              <w:t xml:space="preserve"> iskazala </w:t>
            </w:r>
            <w:r w:rsidR="000C687F">
              <w:rPr>
                <w:color w:val="17365D"/>
                <w:sz w:val="22"/>
                <w:szCs w:val="22"/>
              </w:rPr>
              <w:t>višak</w:t>
            </w:r>
            <w:r w:rsidR="00A35C6B">
              <w:rPr>
                <w:color w:val="17365D"/>
                <w:sz w:val="22"/>
                <w:szCs w:val="22"/>
              </w:rPr>
              <w:t xml:space="preserve"> prihoda poslovanja </w:t>
            </w:r>
            <w:r w:rsidR="000C687F">
              <w:rPr>
                <w:color w:val="17365D"/>
                <w:sz w:val="22"/>
                <w:szCs w:val="22"/>
              </w:rPr>
              <w:t xml:space="preserve">u iznosu </w:t>
            </w:r>
            <w:r w:rsidR="003A67DB">
              <w:rPr>
                <w:color w:val="17365D"/>
                <w:sz w:val="22"/>
                <w:szCs w:val="22"/>
              </w:rPr>
              <w:t xml:space="preserve">1.861,97 eura </w:t>
            </w:r>
            <w:r w:rsidR="00CF4BF2">
              <w:rPr>
                <w:color w:val="17365D"/>
                <w:sz w:val="22"/>
                <w:szCs w:val="22"/>
              </w:rPr>
              <w:t xml:space="preserve">koji je </w:t>
            </w:r>
            <w:r w:rsidR="003A67DB">
              <w:rPr>
                <w:color w:val="17365D"/>
                <w:sz w:val="22"/>
                <w:szCs w:val="22"/>
              </w:rPr>
              <w:t xml:space="preserve">proizašao od uplata zaposlenika za školsku kuhinju. Višak će se sukladno namjeni iskoristiti u 2026. godini. </w:t>
            </w:r>
          </w:p>
          <w:p w:rsidR="004C1989" w:rsidRDefault="004C1989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3A67DB" w:rsidRDefault="00F047BE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F047BE">
              <w:rPr>
                <w:color w:val="17365D"/>
                <w:sz w:val="22"/>
                <w:szCs w:val="22"/>
              </w:rPr>
              <w:t>Izvor 52 –</w:t>
            </w:r>
            <w:r w:rsidR="0095197B">
              <w:rPr>
                <w:color w:val="17365D"/>
                <w:sz w:val="22"/>
                <w:szCs w:val="22"/>
              </w:rPr>
              <w:t xml:space="preserve"> Ostale pomoći</w:t>
            </w:r>
            <w:r w:rsidR="00A35C6B">
              <w:rPr>
                <w:color w:val="17365D"/>
                <w:sz w:val="22"/>
                <w:szCs w:val="22"/>
              </w:rPr>
              <w:t xml:space="preserve"> </w:t>
            </w:r>
            <w:r w:rsidR="003D0A0B">
              <w:rPr>
                <w:color w:val="17365D"/>
                <w:sz w:val="22"/>
                <w:szCs w:val="22"/>
              </w:rPr>
              <w:t xml:space="preserve"> - š</w:t>
            </w:r>
            <w:r w:rsidR="00A35C6B">
              <w:rPr>
                <w:color w:val="17365D"/>
                <w:sz w:val="22"/>
                <w:szCs w:val="22"/>
              </w:rPr>
              <w:t xml:space="preserve">kola je na dan </w:t>
            </w:r>
            <w:r w:rsidR="003A67DB">
              <w:rPr>
                <w:color w:val="17365D"/>
                <w:sz w:val="22"/>
                <w:szCs w:val="22"/>
              </w:rPr>
              <w:t>1.1.2026</w:t>
            </w:r>
            <w:r w:rsidR="00DD2677">
              <w:rPr>
                <w:color w:val="17365D"/>
                <w:sz w:val="22"/>
                <w:szCs w:val="22"/>
              </w:rPr>
              <w:t>.</w:t>
            </w:r>
            <w:r w:rsidR="00A35C6B">
              <w:rPr>
                <w:color w:val="17365D"/>
                <w:sz w:val="22"/>
                <w:szCs w:val="22"/>
              </w:rPr>
              <w:t xml:space="preserve"> godine</w:t>
            </w:r>
            <w:r w:rsidR="00407677">
              <w:rPr>
                <w:color w:val="17365D"/>
                <w:sz w:val="22"/>
                <w:szCs w:val="22"/>
              </w:rPr>
              <w:t xml:space="preserve"> u bruto bilanci</w:t>
            </w:r>
            <w:r w:rsidR="00A35C6B">
              <w:rPr>
                <w:color w:val="17365D"/>
                <w:sz w:val="22"/>
                <w:szCs w:val="22"/>
              </w:rPr>
              <w:t xml:space="preserve"> iskazala </w:t>
            </w:r>
            <w:r w:rsidR="003A67DB">
              <w:rPr>
                <w:color w:val="17365D"/>
                <w:sz w:val="22"/>
                <w:szCs w:val="22"/>
              </w:rPr>
              <w:t>73.328,77</w:t>
            </w:r>
            <w:r w:rsidR="00A35C6B">
              <w:rPr>
                <w:color w:val="17365D"/>
                <w:sz w:val="22"/>
                <w:szCs w:val="22"/>
              </w:rPr>
              <w:t xml:space="preserve"> eur</w:t>
            </w:r>
            <w:r w:rsidR="000107C2">
              <w:rPr>
                <w:color w:val="17365D"/>
                <w:sz w:val="22"/>
                <w:szCs w:val="22"/>
              </w:rPr>
              <w:t>a</w:t>
            </w:r>
            <w:r w:rsidR="00A35C6B">
              <w:rPr>
                <w:color w:val="17365D"/>
                <w:sz w:val="22"/>
                <w:szCs w:val="22"/>
              </w:rPr>
              <w:t xml:space="preserve"> </w:t>
            </w:r>
            <w:r w:rsidR="003A67DB">
              <w:rPr>
                <w:color w:val="17365D"/>
                <w:sz w:val="22"/>
                <w:szCs w:val="22"/>
              </w:rPr>
              <w:t>manjka</w:t>
            </w:r>
            <w:r w:rsidR="00A35C6B">
              <w:rPr>
                <w:color w:val="17365D"/>
                <w:sz w:val="22"/>
                <w:szCs w:val="22"/>
              </w:rPr>
              <w:t xml:space="preserve"> prihoda </w:t>
            </w:r>
            <w:r w:rsidR="003A67DB">
              <w:rPr>
                <w:color w:val="17365D"/>
                <w:sz w:val="22"/>
                <w:szCs w:val="22"/>
              </w:rPr>
              <w:t xml:space="preserve">poslovanja na računu 92221, te 90,79 </w:t>
            </w:r>
            <w:r w:rsidR="00A35C6B">
              <w:rPr>
                <w:color w:val="17365D"/>
                <w:sz w:val="22"/>
                <w:szCs w:val="22"/>
              </w:rPr>
              <w:t>eur</w:t>
            </w:r>
            <w:r w:rsidR="000107C2">
              <w:rPr>
                <w:color w:val="17365D"/>
                <w:sz w:val="22"/>
                <w:szCs w:val="22"/>
              </w:rPr>
              <w:t>a</w:t>
            </w:r>
            <w:r w:rsidR="00A35C6B">
              <w:rPr>
                <w:color w:val="17365D"/>
                <w:sz w:val="22"/>
                <w:szCs w:val="22"/>
              </w:rPr>
              <w:t xml:space="preserve"> manjka prihoda od nefina</w:t>
            </w:r>
            <w:r w:rsidR="008D390E">
              <w:rPr>
                <w:color w:val="17365D"/>
                <w:sz w:val="22"/>
                <w:szCs w:val="22"/>
              </w:rPr>
              <w:t>n</w:t>
            </w:r>
            <w:r w:rsidR="004C1989">
              <w:rPr>
                <w:color w:val="17365D"/>
                <w:sz w:val="22"/>
                <w:szCs w:val="22"/>
              </w:rPr>
              <w:t xml:space="preserve">cijske imovine na računu 92222 </w:t>
            </w:r>
            <w:r w:rsidR="00C75A1E">
              <w:rPr>
                <w:color w:val="17365D"/>
                <w:sz w:val="22"/>
                <w:szCs w:val="22"/>
              </w:rPr>
              <w:t xml:space="preserve">koji se </w:t>
            </w:r>
            <w:r w:rsidR="004C1989">
              <w:rPr>
                <w:color w:val="17365D"/>
                <w:sz w:val="22"/>
                <w:szCs w:val="22"/>
              </w:rPr>
              <w:t>odnosi na</w:t>
            </w:r>
            <w:r w:rsidR="00782DBA">
              <w:rPr>
                <w:color w:val="17365D"/>
                <w:sz w:val="22"/>
                <w:szCs w:val="22"/>
              </w:rPr>
              <w:t xml:space="preserve"> rashod</w:t>
            </w:r>
            <w:r w:rsidR="004C1989">
              <w:rPr>
                <w:color w:val="17365D"/>
                <w:sz w:val="22"/>
                <w:szCs w:val="22"/>
              </w:rPr>
              <w:t xml:space="preserve"> </w:t>
            </w:r>
            <w:r w:rsidR="003A67DB">
              <w:rPr>
                <w:color w:val="17365D"/>
                <w:sz w:val="22"/>
                <w:szCs w:val="22"/>
              </w:rPr>
              <w:t>nabave knjige „Herojski Vukovar“ koji je nastao u 2025. godini, a za što</w:t>
            </w:r>
            <w:r w:rsidR="00CF4BF2">
              <w:rPr>
                <w:color w:val="17365D"/>
                <w:sz w:val="22"/>
                <w:szCs w:val="22"/>
              </w:rPr>
              <w:t xml:space="preserve"> će škola dobiti</w:t>
            </w:r>
            <w:r w:rsidR="003A67DB">
              <w:rPr>
                <w:color w:val="17365D"/>
                <w:sz w:val="22"/>
                <w:szCs w:val="22"/>
              </w:rPr>
              <w:t xml:space="preserve"> sredstva u 2026</w:t>
            </w:r>
            <w:r w:rsidR="004C1989">
              <w:rPr>
                <w:color w:val="17365D"/>
                <w:sz w:val="22"/>
                <w:szCs w:val="22"/>
              </w:rPr>
              <w:t>. godini.</w:t>
            </w:r>
          </w:p>
          <w:p w:rsidR="004E63C9" w:rsidRDefault="004E63C9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0E108D" w:rsidRPr="00A07F40" w:rsidRDefault="008D390E" w:rsidP="00782DBA">
            <w:pPr>
              <w:jc w:val="both"/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 xml:space="preserve">Izvor 71 – Prihodi od prodaje </w:t>
            </w:r>
            <w:r w:rsidR="001E4648" w:rsidRPr="001E4648">
              <w:rPr>
                <w:color w:val="17365D"/>
                <w:sz w:val="22"/>
                <w:szCs w:val="22"/>
              </w:rPr>
              <w:t>nefinancijske imovin</w:t>
            </w:r>
            <w:r w:rsidR="004E63C9">
              <w:rPr>
                <w:color w:val="17365D"/>
                <w:sz w:val="22"/>
                <w:szCs w:val="22"/>
              </w:rPr>
              <w:t xml:space="preserve">e </w:t>
            </w:r>
            <w:r w:rsidR="00CF4BF2">
              <w:rPr>
                <w:color w:val="17365D"/>
                <w:sz w:val="22"/>
                <w:szCs w:val="22"/>
              </w:rPr>
              <w:t>– škola je n</w:t>
            </w:r>
            <w:r w:rsidR="004E63C9">
              <w:rPr>
                <w:color w:val="17365D"/>
                <w:sz w:val="22"/>
                <w:szCs w:val="22"/>
              </w:rPr>
              <w:t>a</w:t>
            </w:r>
            <w:r w:rsidR="003D0A0B">
              <w:rPr>
                <w:color w:val="17365D"/>
                <w:sz w:val="22"/>
                <w:szCs w:val="22"/>
              </w:rPr>
              <w:t xml:space="preserve"> dan</w:t>
            </w:r>
            <w:r w:rsidR="004E63C9">
              <w:rPr>
                <w:color w:val="17365D"/>
                <w:sz w:val="22"/>
                <w:szCs w:val="22"/>
              </w:rPr>
              <w:t xml:space="preserve"> </w:t>
            </w:r>
            <w:r w:rsidR="003A67DB">
              <w:rPr>
                <w:color w:val="17365D"/>
                <w:sz w:val="22"/>
                <w:szCs w:val="22"/>
              </w:rPr>
              <w:t>1.1.2026</w:t>
            </w:r>
            <w:r w:rsidR="00DD2677">
              <w:rPr>
                <w:color w:val="17365D"/>
                <w:sz w:val="22"/>
                <w:szCs w:val="22"/>
              </w:rPr>
              <w:t>.</w:t>
            </w:r>
            <w:r w:rsidR="00CF4BF2">
              <w:rPr>
                <w:color w:val="17365D"/>
                <w:sz w:val="22"/>
                <w:szCs w:val="22"/>
              </w:rPr>
              <w:t xml:space="preserve"> godine </w:t>
            </w:r>
            <w:r w:rsidR="003D0A0B">
              <w:rPr>
                <w:color w:val="17365D"/>
                <w:sz w:val="22"/>
                <w:szCs w:val="22"/>
              </w:rPr>
              <w:t xml:space="preserve">u bruto bilanci </w:t>
            </w:r>
            <w:r w:rsidR="004E63C9">
              <w:rPr>
                <w:color w:val="17365D"/>
                <w:sz w:val="22"/>
                <w:szCs w:val="22"/>
              </w:rPr>
              <w:t>na računu 92212 iskazala višak</w:t>
            </w:r>
            <w:r>
              <w:rPr>
                <w:color w:val="17365D"/>
                <w:sz w:val="22"/>
                <w:szCs w:val="22"/>
              </w:rPr>
              <w:t xml:space="preserve"> prihoda</w:t>
            </w:r>
            <w:r w:rsidR="004E63C9">
              <w:rPr>
                <w:color w:val="17365D"/>
                <w:sz w:val="22"/>
                <w:szCs w:val="22"/>
              </w:rPr>
              <w:t xml:space="preserve"> od nefinancijske imovine u iznosu od </w:t>
            </w:r>
            <w:r w:rsidR="003A67DB">
              <w:rPr>
                <w:color w:val="17365D"/>
                <w:sz w:val="22"/>
                <w:szCs w:val="22"/>
              </w:rPr>
              <w:t>351,88</w:t>
            </w:r>
            <w:r w:rsidR="004E63C9">
              <w:rPr>
                <w:color w:val="17365D"/>
                <w:sz w:val="22"/>
                <w:szCs w:val="22"/>
              </w:rPr>
              <w:t xml:space="preserve"> eur</w:t>
            </w:r>
            <w:r w:rsidR="000107C2">
              <w:rPr>
                <w:color w:val="17365D"/>
                <w:sz w:val="22"/>
                <w:szCs w:val="22"/>
              </w:rPr>
              <w:t>a</w:t>
            </w:r>
            <w:r w:rsidR="004E63C9">
              <w:rPr>
                <w:color w:val="17365D"/>
                <w:sz w:val="22"/>
                <w:szCs w:val="22"/>
              </w:rPr>
              <w:t>.</w:t>
            </w:r>
            <w:r>
              <w:rPr>
                <w:color w:val="17365D"/>
                <w:sz w:val="22"/>
                <w:szCs w:val="22"/>
              </w:rPr>
              <w:t xml:space="preserve"> </w:t>
            </w:r>
          </w:p>
        </w:tc>
      </w:tr>
      <w:tr w:rsidR="000E108D" w:rsidRPr="00E45F75" w:rsidTr="00085A65">
        <w:trPr>
          <w:trHeight w:val="324"/>
        </w:trPr>
        <w:tc>
          <w:tcPr>
            <w:tcW w:w="9286" w:type="dxa"/>
            <w:shd w:val="clear" w:color="auto" w:fill="auto"/>
            <w:vAlign w:val="center"/>
          </w:tcPr>
          <w:p w:rsidR="000E108D" w:rsidRPr="00E45F75" w:rsidRDefault="000E108D" w:rsidP="00782DBA">
            <w:pPr>
              <w:numPr>
                <w:ilvl w:val="0"/>
                <w:numId w:val="1"/>
              </w:numPr>
              <w:jc w:val="both"/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OBRAZLOŽENJE </w:t>
            </w:r>
            <w:r w:rsidR="006B52D2">
              <w:rPr>
                <w:b/>
                <w:color w:val="17365D"/>
                <w:sz w:val="22"/>
                <w:szCs w:val="22"/>
              </w:rPr>
              <w:t>PRERASPODJELE</w:t>
            </w:r>
            <w:r>
              <w:rPr>
                <w:b/>
                <w:color w:val="17365D"/>
                <w:sz w:val="22"/>
                <w:szCs w:val="22"/>
              </w:rPr>
              <w:t xml:space="preserve"> </w:t>
            </w:r>
            <w:r w:rsidR="00E87937">
              <w:rPr>
                <w:b/>
                <w:color w:val="17365D"/>
                <w:sz w:val="22"/>
                <w:szCs w:val="22"/>
              </w:rPr>
              <w:t>VIŠKA</w:t>
            </w:r>
            <w:r w:rsidR="00132AB9">
              <w:rPr>
                <w:b/>
                <w:color w:val="17365D"/>
                <w:sz w:val="22"/>
                <w:szCs w:val="22"/>
              </w:rPr>
              <w:t>/MANJKA</w:t>
            </w:r>
          </w:p>
        </w:tc>
      </w:tr>
      <w:tr w:rsidR="000E108D" w:rsidRPr="00E45F75" w:rsidTr="00A07F40">
        <w:trPr>
          <w:trHeight w:val="10847"/>
        </w:trPr>
        <w:tc>
          <w:tcPr>
            <w:tcW w:w="9286" w:type="dxa"/>
            <w:shd w:val="clear" w:color="auto" w:fill="auto"/>
            <w:vAlign w:val="center"/>
          </w:tcPr>
          <w:p w:rsidR="000E108D" w:rsidRDefault="000E108D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E80DB7" w:rsidRDefault="00E80DB7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  <w:r w:rsidRPr="00E80DB7">
              <w:rPr>
                <w:i/>
                <w:color w:val="17365D"/>
                <w:sz w:val="22"/>
                <w:szCs w:val="22"/>
              </w:rPr>
              <w:t xml:space="preserve">Županijski proračun </w:t>
            </w:r>
          </w:p>
          <w:p w:rsidR="004E63C9" w:rsidRDefault="004E63C9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</w:p>
          <w:p w:rsidR="004E63C9" w:rsidRDefault="004E63C9" w:rsidP="00782DBA">
            <w:pPr>
              <w:jc w:val="both"/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>Izvor 1</w:t>
            </w:r>
            <w:r w:rsidR="004C33E3">
              <w:rPr>
                <w:color w:val="17365D"/>
                <w:sz w:val="22"/>
                <w:szCs w:val="22"/>
              </w:rPr>
              <w:t>15</w:t>
            </w:r>
            <w:r>
              <w:rPr>
                <w:color w:val="17365D"/>
                <w:sz w:val="22"/>
                <w:szCs w:val="22"/>
              </w:rPr>
              <w:t xml:space="preserve">1 – </w:t>
            </w:r>
            <w:proofErr w:type="spellStart"/>
            <w:r w:rsidR="004C33E3" w:rsidRPr="004C33E3">
              <w:rPr>
                <w:color w:val="17365D"/>
                <w:sz w:val="22"/>
                <w:szCs w:val="22"/>
              </w:rPr>
              <w:t>Predfinanciranje</w:t>
            </w:r>
            <w:proofErr w:type="spellEnd"/>
            <w:r w:rsidR="004C33E3" w:rsidRPr="004C33E3">
              <w:rPr>
                <w:color w:val="17365D"/>
                <w:sz w:val="22"/>
                <w:szCs w:val="22"/>
              </w:rPr>
              <w:t>/refundacija EU projekt</w:t>
            </w:r>
            <w:r w:rsidR="004C33E3">
              <w:rPr>
                <w:color w:val="17365D"/>
                <w:sz w:val="22"/>
                <w:szCs w:val="22"/>
              </w:rPr>
              <w:t xml:space="preserve"> </w:t>
            </w:r>
            <w:r>
              <w:rPr>
                <w:color w:val="17365D"/>
                <w:sz w:val="22"/>
                <w:szCs w:val="22"/>
              </w:rPr>
              <w:t xml:space="preserve">– </w:t>
            </w:r>
            <w:r w:rsidR="00782DBA">
              <w:rPr>
                <w:color w:val="17365D"/>
                <w:sz w:val="22"/>
                <w:szCs w:val="22"/>
              </w:rPr>
              <w:t>metodološki manjak na navedenom izvoru nastao je zbog rashoda za plaću</w:t>
            </w:r>
            <w:r>
              <w:rPr>
                <w:color w:val="17365D"/>
                <w:sz w:val="22"/>
                <w:szCs w:val="22"/>
              </w:rPr>
              <w:t xml:space="preserve"> </w:t>
            </w:r>
            <w:r w:rsidR="004C33E3">
              <w:rPr>
                <w:color w:val="17365D"/>
                <w:sz w:val="22"/>
                <w:szCs w:val="22"/>
              </w:rPr>
              <w:t>asistenata</w:t>
            </w:r>
            <w:r>
              <w:rPr>
                <w:color w:val="17365D"/>
                <w:sz w:val="22"/>
                <w:szCs w:val="22"/>
              </w:rPr>
              <w:t xml:space="preserve"> u nastavi </w:t>
            </w:r>
            <w:r w:rsidR="004C33E3">
              <w:rPr>
                <w:color w:val="17365D"/>
                <w:sz w:val="22"/>
                <w:szCs w:val="22"/>
              </w:rPr>
              <w:t>za</w:t>
            </w:r>
            <w:r w:rsidR="007A78A7">
              <w:rPr>
                <w:color w:val="17365D"/>
                <w:sz w:val="22"/>
                <w:szCs w:val="22"/>
              </w:rPr>
              <w:t xml:space="preserve"> </w:t>
            </w:r>
            <w:r w:rsidR="004C33E3">
              <w:rPr>
                <w:color w:val="17365D"/>
                <w:sz w:val="22"/>
                <w:szCs w:val="22"/>
              </w:rPr>
              <w:t>prosinac 2025</w:t>
            </w:r>
            <w:r>
              <w:rPr>
                <w:color w:val="17365D"/>
                <w:sz w:val="22"/>
                <w:szCs w:val="22"/>
              </w:rPr>
              <w:t xml:space="preserve">. godine. </w:t>
            </w:r>
            <w:r w:rsidR="00782DBA">
              <w:rPr>
                <w:color w:val="17365D"/>
                <w:sz w:val="22"/>
                <w:szCs w:val="22"/>
              </w:rPr>
              <w:t xml:space="preserve">Prihod je knjižen </w:t>
            </w:r>
            <w:r>
              <w:rPr>
                <w:color w:val="17365D"/>
                <w:sz w:val="22"/>
                <w:szCs w:val="22"/>
              </w:rPr>
              <w:t>u siječnju 202</w:t>
            </w:r>
            <w:r w:rsidR="004C33E3">
              <w:rPr>
                <w:color w:val="17365D"/>
                <w:sz w:val="22"/>
                <w:szCs w:val="22"/>
              </w:rPr>
              <w:t>6</w:t>
            </w:r>
            <w:r w:rsidR="008D390E">
              <w:rPr>
                <w:color w:val="17365D"/>
                <w:sz w:val="22"/>
                <w:szCs w:val="22"/>
              </w:rPr>
              <w:t xml:space="preserve">. godine </w:t>
            </w:r>
            <w:r w:rsidR="00782DBA">
              <w:rPr>
                <w:color w:val="17365D"/>
                <w:sz w:val="22"/>
                <w:szCs w:val="22"/>
              </w:rPr>
              <w:t xml:space="preserve">te </w:t>
            </w:r>
            <w:r w:rsidR="008D390E">
              <w:rPr>
                <w:color w:val="17365D"/>
                <w:sz w:val="22"/>
                <w:szCs w:val="22"/>
              </w:rPr>
              <w:t xml:space="preserve">se </w:t>
            </w:r>
            <w:r w:rsidR="00782DBA">
              <w:rPr>
                <w:color w:val="17365D"/>
                <w:sz w:val="22"/>
                <w:szCs w:val="22"/>
              </w:rPr>
              <w:t xml:space="preserve">time </w:t>
            </w:r>
            <w:r w:rsidR="008D390E">
              <w:rPr>
                <w:color w:val="17365D"/>
                <w:sz w:val="22"/>
                <w:szCs w:val="22"/>
              </w:rPr>
              <w:t xml:space="preserve">pokriva </w:t>
            </w:r>
            <w:r w:rsidR="0076586A">
              <w:rPr>
                <w:color w:val="17365D"/>
                <w:sz w:val="22"/>
                <w:szCs w:val="22"/>
              </w:rPr>
              <w:t xml:space="preserve">metodološki </w:t>
            </w:r>
            <w:r w:rsidR="008D390E">
              <w:rPr>
                <w:color w:val="17365D"/>
                <w:sz w:val="22"/>
                <w:szCs w:val="22"/>
              </w:rPr>
              <w:t xml:space="preserve">manjak prihoda poslovanja. </w:t>
            </w:r>
            <w:r w:rsidR="004C33E3">
              <w:rPr>
                <w:color w:val="17365D"/>
                <w:sz w:val="22"/>
                <w:szCs w:val="22"/>
              </w:rPr>
              <w:t xml:space="preserve">Također izvor 1151 više nije aktivan pa će se rezultat poslovanja </w:t>
            </w:r>
            <w:proofErr w:type="spellStart"/>
            <w:r w:rsidR="00CF4BF2">
              <w:rPr>
                <w:color w:val="17365D"/>
                <w:sz w:val="22"/>
                <w:szCs w:val="22"/>
              </w:rPr>
              <w:t>preknjižiti</w:t>
            </w:r>
            <w:proofErr w:type="spellEnd"/>
            <w:r w:rsidR="00CF4BF2">
              <w:rPr>
                <w:color w:val="17365D"/>
                <w:sz w:val="22"/>
                <w:szCs w:val="22"/>
              </w:rPr>
              <w:t xml:space="preserve"> na</w:t>
            </w:r>
            <w:r w:rsidR="004C33E3">
              <w:rPr>
                <w:color w:val="17365D"/>
                <w:sz w:val="22"/>
                <w:szCs w:val="22"/>
              </w:rPr>
              <w:t xml:space="preserve"> izvor 56111 – ESF+ </w:t>
            </w:r>
            <w:proofErr w:type="spellStart"/>
            <w:r w:rsidR="004C33E3">
              <w:rPr>
                <w:color w:val="17365D"/>
                <w:sz w:val="22"/>
                <w:szCs w:val="22"/>
              </w:rPr>
              <w:t>predfinanciranje</w:t>
            </w:r>
            <w:proofErr w:type="spellEnd"/>
            <w:r w:rsidR="004C33E3">
              <w:rPr>
                <w:color w:val="17365D"/>
                <w:sz w:val="22"/>
                <w:szCs w:val="22"/>
              </w:rPr>
              <w:t xml:space="preserve"> iz izvora 11 Opći prihodi i primici.  </w:t>
            </w:r>
          </w:p>
          <w:p w:rsidR="004E63C9" w:rsidRPr="00E80DB7" w:rsidRDefault="004E63C9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</w:p>
          <w:p w:rsidR="00C75A1E" w:rsidRDefault="00E80DB7" w:rsidP="00782DBA">
            <w:pPr>
              <w:jc w:val="both"/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 xml:space="preserve">Izvor 44 – Decentralizirana sredstva - </w:t>
            </w:r>
            <w:r w:rsidR="003D0A0B">
              <w:rPr>
                <w:color w:val="17365D"/>
                <w:sz w:val="22"/>
                <w:szCs w:val="22"/>
              </w:rPr>
              <w:t>š</w:t>
            </w:r>
            <w:r w:rsidR="00C75A1E">
              <w:rPr>
                <w:color w:val="17365D"/>
                <w:sz w:val="22"/>
                <w:szCs w:val="22"/>
              </w:rPr>
              <w:t>kola je pre</w:t>
            </w:r>
            <w:r w:rsidR="00782DBA">
              <w:rPr>
                <w:color w:val="17365D"/>
                <w:sz w:val="22"/>
                <w:szCs w:val="22"/>
              </w:rPr>
              <w:t>ma bruto bilanci na dan 1.1.2026</w:t>
            </w:r>
            <w:r w:rsidR="00C75A1E">
              <w:rPr>
                <w:color w:val="17365D"/>
                <w:sz w:val="22"/>
                <w:szCs w:val="22"/>
              </w:rPr>
              <w:t xml:space="preserve">. iskazala manjak prihoda poslovanja na računu 92221 u iznosu od </w:t>
            </w:r>
            <w:r w:rsidR="003A67DB">
              <w:rPr>
                <w:color w:val="17365D"/>
                <w:sz w:val="22"/>
                <w:szCs w:val="22"/>
              </w:rPr>
              <w:t>721,76</w:t>
            </w:r>
            <w:r w:rsidR="00C75A1E">
              <w:rPr>
                <w:color w:val="17365D"/>
                <w:sz w:val="22"/>
                <w:szCs w:val="22"/>
              </w:rPr>
              <w:t xml:space="preserve"> eura. Manjak prihoda poslovanja se odnosi na s</w:t>
            </w:r>
            <w:r w:rsidR="00C75A1E" w:rsidRPr="007C7428">
              <w:rPr>
                <w:color w:val="17365D"/>
                <w:sz w:val="22"/>
                <w:szCs w:val="22"/>
              </w:rPr>
              <w:t>redstva</w:t>
            </w:r>
            <w:r w:rsidR="003A67DB">
              <w:rPr>
                <w:color w:val="17365D"/>
                <w:sz w:val="22"/>
                <w:szCs w:val="22"/>
              </w:rPr>
              <w:t xml:space="preserve"> za materijalne </w:t>
            </w:r>
            <w:r w:rsidR="00782DBA">
              <w:rPr>
                <w:color w:val="17365D"/>
                <w:sz w:val="22"/>
                <w:szCs w:val="22"/>
              </w:rPr>
              <w:t>rashode</w:t>
            </w:r>
            <w:r w:rsidR="003A67DB">
              <w:rPr>
                <w:color w:val="17365D"/>
                <w:sz w:val="22"/>
                <w:szCs w:val="22"/>
              </w:rPr>
              <w:t xml:space="preserve"> 2025. godine </w:t>
            </w:r>
            <w:r w:rsidR="00782DBA">
              <w:rPr>
                <w:color w:val="17365D"/>
                <w:sz w:val="22"/>
                <w:szCs w:val="22"/>
              </w:rPr>
              <w:t>za koje je prihod knjižen</w:t>
            </w:r>
            <w:r w:rsidR="00C75A1E">
              <w:rPr>
                <w:color w:val="17365D"/>
                <w:sz w:val="22"/>
                <w:szCs w:val="22"/>
              </w:rPr>
              <w:t xml:space="preserve"> </w:t>
            </w:r>
            <w:r w:rsidR="003A67DB">
              <w:rPr>
                <w:color w:val="17365D"/>
                <w:sz w:val="22"/>
                <w:szCs w:val="22"/>
              </w:rPr>
              <w:t>u 2026</w:t>
            </w:r>
            <w:r w:rsidR="00C75A1E" w:rsidRPr="0076586A">
              <w:rPr>
                <w:color w:val="17365D"/>
                <w:sz w:val="22"/>
                <w:szCs w:val="22"/>
              </w:rPr>
              <w:t xml:space="preserve">. godini. </w:t>
            </w:r>
            <w:r w:rsidR="00C75A1E">
              <w:rPr>
                <w:color w:val="17365D"/>
                <w:sz w:val="22"/>
                <w:szCs w:val="22"/>
              </w:rPr>
              <w:t xml:space="preserve"> </w:t>
            </w:r>
          </w:p>
          <w:p w:rsidR="00E23A52" w:rsidRDefault="00E23A52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0E108D" w:rsidRDefault="00700AB5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700AB5">
              <w:rPr>
                <w:color w:val="17365D"/>
                <w:sz w:val="22"/>
                <w:szCs w:val="22"/>
              </w:rPr>
              <w:t xml:space="preserve"> </w:t>
            </w:r>
          </w:p>
          <w:p w:rsidR="00700AB5" w:rsidRDefault="00E80DB7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  <w:r w:rsidRPr="00852D39">
              <w:rPr>
                <w:i/>
                <w:color w:val="17365D"/>
                <w:sz w:val="22"/>
                <w:szCs w:val="22"/>
              </w:rPr>
              <w:t>Vlastita i namjenska sredstva</w:t>
            </w:r>
          </w:p>
          <w:p w:rsidR="000F2564" w:rsidRPr="0095197B" w:rsidRDefault="000F2564" w:rsidP="00782DBA">
            <w:pPr>
              <w:jc w:val="both"/>
              <w:rPr>
                <w:i/>
                <w:color w:val="17365D"/>
                <w:sz w:val="22"/>
                <w:szCs w:val="22"/>
              </w:rPr>
            </w:pPr>
          </w:p>
          <w:p w:rsidR="00A07F40" w:rsidRDefault="00E80DB7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F047BE">
              <w:rPr>
                <w:color w:val="17365D"/>
                <w:sz w:val="22"/>
                <w:szCs w:val="22"/>
              </w:rPr>
              <w:t xml:space="preserve">Izvor 31 - Vlastiti prihodi </w:t>
            </w:r>
            <w:r w:rsidR="003A67DB">
              <w:rPr>
                <w:color w:val="17365D"/>
                <w:sz w:val="22"/>
                <w:szCs w:val="22"/>
              </w:rPr>
              <w:t>- viškom prihoda poslovanja na računu 92211 u iznosu od 2.090,57 eura koji se odnosi na</w:t>
            </w:r>
            <w:r w:rsidR="003A67DB" w:rsidRPr="00F047BE">
              <w:rPr>
                <w:color w:val="17365D"/>
                <w:sz w:val="22"/>
                <w:szCs w:val="22"/>
              </w:rPr>
              <w:t xml:space="preserve"> neutrošena sredstva</w:t>
            </w:r>
            <w:r w:rsidR="003A67DB">
              <w:rPr>
                <w:color w:val="17365D"/>
                <w:sz w:val="22"/>
                <w:szCs w:val="22"/>
              </w:rPr>
              <w:t xml:space="preserve"> od najma stana i najma </w:t>
            </w:r>
            <w:r w:rsidR="00782DBA">
              <w:rPr>
                <w:color w:val="17365D"/>
                <w:sz w:val="22"/>
                <w:szCs w:val="22"/>
              </w:rPr>
              <w:t xml:space="preserve">školskog </w:t>
            </w:r>
            <w:r w:rsidR="003A67DB">
              <w:rPr>
                <w:color w:val="17365D"/>
                <w:sz w:val="22"/>
                <w:szCs w:val="22"/>
              </w:rPr>
              <w:t>prostor</w:t>
            </w:r>
            <w:r w:rsidR="00782DBA">
              <w:rPr>
                <w:color w:val="17365D"/>
                <w:sz w:val="22"/>
                <w:szCs w:val="22"/>
              </w:rPr>
              <w:t>a</w:t>
            </w:r>
            <w:r w:rsidR="003A67DB">
              <w:rPr>
                <w:color w:val="17365D"/>
                <w:sz w:val="22"/>
                <w:szCs w:val="22"/>
              </w:rPr>
              <w:t xml:space="preserve"> pokriti će se manjak prihoda od nefinancijske imovine </w:t>
            </w:r>
            <w:r w:rsidR="00782DBA">
              <w:rPr>
                <w:color w:val="17365D"/>
                <w:sz w:val="22"/>
                <w:szCs w:val="22"/>
              </w:rPr>
              <w:t xml:space="preserve">na računu 92222 </w:t>
            </w:r>
            <w:r w:rsidR="003A67DB">
              <w:rPr>
                <w:color w:val="17365D"/>
                <w:sz w:val="22"/>
                <w:szCs w:val="22"/>
              </w:rPr>
              <w:t>u iznosu od 2.090,57 eura na način da se odobrava manjak prihoda od nefinancijske imovine za iznos od 2.090,57 eura i za isti iznos se zadužuje višak prihoda poslovanja. Ostatak viška prihoda poslovanja u iznosu od 11.738,87 eura će se utrošiti na ostale financijsko materijalne rashode koji proizlaze iz poslovanja škole.</w:t>
            </w:r>
          </w:p>
          <w:p w:rsidR="00353E48" w:rsidRDefault="00353E48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353E48" w:rsidRDefault="00E80DB7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F047BE">
              <w:rPr>
                <w:color w:val="17365D"/>
                <w:sz w:val="22"/>
                <w:szCs w:val="22"/>
              </w:rPr>
              <w:t xml:space="preserve">Izvor 43 – Prihodi za posebne namjene </w:t>
            </w:r>
            <w:r>
              <w:rPr>
                <w:color w:val="17365D"/>
                <w:sz w:val="22"/>
                <w:szCs w:val="22"/>
              </w:rPr>
              <w:t xml:space="preserve">– </w:t>
            </w:r>
            <w:r w:rsidR="000F0EED">
              <w:rPr>
                <w:color w:val="17365D"/>
                <w:sz w:val="22"/>
                <w:szCs w:val="22"/>
              </w:rPr>
              <w:t>višak prihoda poslovanja će se u 2026. godin</w:t>
            </w:r>
            <w:r w:rsidR="00555819">
              <w:rPr>
                <w:color w:val="17365D"/>
                <w:sz w:val="22"/>
                <w:szCs w:val="22"/>
              </w:rPr>
              <w:t xml:space="preserve">i iskoristiti sukladno namjeni za nabavu namirnica za školsku kuhinju. </w:t>
            </w:r>
          </w:p>
          <w:p w:rsidR="00353E48" w:rsidRDefault="00353E48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040498" w:rsidRDefault="00E80DB7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F047BE">
              <w:rPr>
                <w:color w:val="17365D"/>
                <w:sz w:val="22"/>
                <w:szCs w:val="22"/>
              </w:rPr>
              <w:t xml:space="preserve">Izvor 52 – Ostale pomoći </w:t>
            </w:r>
            <w:r w:rsidR="005910BC">
              <w:rPr>
                <w:color w:val="17365D"/>
                <w:sz w:val="22"/>
                <w:szCs w:val="22"/>
              </w:rPr>
              <w:t>–</w:t>
            </w:r>
            <w:r w:rsidR="00555819">
              <w:rPr>
                <w:color w:val="17365D"/>
                <w:sz w:val="22"/>
                <w:szCs w:val="22"/>
              </w:rPr>
              <w:t xml:space="preserve"> m</w:t>
            </w:r>
            <w:r w:rsidR="00A65DCF">
              <w:rPr>
                <w:color w:val="17365D"/>
                <w:sz w:val="22"/>
                <w:szCs w:val="22"/>
              </w:rPr>
              <w:t>anjak prihoda poslovanja</w:t>
            </w:r>
            <w:r w:rsidR="00555819">
              <w:rPr>
                <w:color w:val="17365D"/>
                <w:sz w:val="22"/>
                <w:szCs w:val="22"/>
              </w:rPr>
              <w:t xml:space="preserve"> na računu 92221</w:t>
            </w:r>
            <w:r w:rsidR="00A65DCF">
              <w:rPr>
                <w:color w:val="17365D"/>
                <w:sz w:val="22"/>
                <w:szCs w:val="22"/>
              </w:rPr>
              <w:t xml:space="preserve"> u iznosu od 73.328,77 eura rezultat je manjka prihoda poslova</w:t>
            </w:r>
            <w:r w:rsidR="00555819">
              <w:rPr>
                <w:color w:val="17365D"/>
                <w:sz w:val="22"/>
                <w:szCs w:val="22"/>
              </w:rPr>
              <w:t>nja (</w:t>
            </w:r>
            <w:r w:rsidR="00A65DCF">
              <w:rPr>
                <w:color w:val="17365D"/>
                <w:sz w:val="22"/>
                <w:szCs w:val="22"/>
              </w:rPr>
              <w:t>sredstva za</w:t>
            </w:r>
            <w:r w:rsidR="00DE020A">
              <w:rPr>
                <w:color w:val="17365D"/>
                <w:sz w:val="22"/>
                <w:szCs w:val="22"/>
              </w:rPr>
              <w:t xml:space="preserve"> </w:t>
            </w:r>
            <w:r w:rsidR="00A65DCF">
              <w:rPr>
                <w:color w:val="17365D"/>
                <w:sz w:val="22"/>
                <w:szCs w:val="22"/>
              </w:rPr>
              <w:t>plaće i materijalna prava zaposlenika u izno</w:t>
            </w:r>
            <w:r w:rsidR="00DE020A">
              <w:rPr>
                <w:color w:val="17365D"/>
                <w:sz w:val="22"/>
                <w:szCs w:val="22"/>
              </w:rPr>
              <w:t xml:space="preserve">su od 76.857,58 eura; </w:t>
            </w:r>
            <w:r w:rsidR="00A65DCF">
              <w:rPr>
                <w:color w:val="17365D"/>
                <w:sz w:val="22"/>
                <w:szCs w:val="22"/>
              </w:rPr>
              <w:t xml:space="preserve">naknadu za nezapošljavanje invalida </w:t>
            </w:r>
            <w:r w:rsidR="00DE020A">
              <w:rPr>
                <w:color w:val="17365D"/>
                <w:sz w:val="22"/>
                <w:szCs w:val="22"/>
              </w:rPr>
              <w:t xml:space="preserve">u iznosu od </w:t>
            </w:r>
            <w:r w:rsidR="00A65DCF">
              <w:rPr>
                <w:color w:val="17365D"/>
                <w:sz w:val="22"/>
                <w:szCs w:val="22"/>
              </w:rPr>
              <w:t>194,00 eura</w:t>
            </w:r>
            <w:r w:rsidR="00DE020A">
              <w:rPr>
                <w:color w:val="17365D"/>
                <w:sz w:val="22"/>
                <w:szCs w:val="22"/>
              </w:rPr>
              <w:t xml:space="preserve">; </w:t>
            </w:r>
            <w:r w:rsidR="00A65DCF">
              <w:rPr>
                <w:color w:val="17365D"/>
                <w:sz w:val="22"/>
                <w:szCs w:val="22"/>
              </w:rPr>
              <w:t xml:space="preserve">prehranu </w:t>
            </w:r>
            <w:r w:rsidR="00DE020A">
              <w:rPr>
                <w:color w:val="17365D"/>
                <w:sz w:val="22"/>
                <w:szCs w:val="22"/>
              </w:rPr>
              <w:t xml:space="preserve">u iznosu od </w:t>
            </w:r>
            <w:r w:rsidR="00A65DCF">
              <w:rPr>
                <w:color w:val="17365D"/>
                <w:sz w:val="22"/>
                <w:szCs w:val="22"/>
              </w:rPr>
              <w:t>1.887,85 eura</w:t>
            </w:r>
            <w:r w:rsidR="00555819">
              <w:rPr>
                <w:color w:val="17365D"/>
                <w:sz w:val="22"/>
                <w:szCs w:val="22"/>
              </w:rPr>
              <w:t>)</w:t>
            </w:r>
            <w:r w:rsidR="00DE020A">
              <w:rPr>
                <w:color w:val="17365D"/>
                <w:sz w:val="22"/>
                <w:szCs w:val="22"/>
              </w:rPr>
              <w:t xml:space="preserve">, </w:t>
            </w:r>
            <w:r w:rsidR="00A65DCF">
              <w:rPr>
                <w:color w:val="17365D"/>
                <w:sz w:val="22"/>
                <w:szCs w:val="22"/>
              </w:rPr>
              <w:t xml:space="preserve">te viška </w:t>
            </w:r>
            <w:r w:rsidR="005E3B19">
              <w:rPr>
                <w:color w:val="17365D"/>
                <w:sz w:val="22"/>
                <w:szCs w:val="22"/>
              </w:rPr>
              <w:t>prihoda od poslovanja koji je nastao od neutrošenih sredstava</w:t>
            </w:r>
            <w:r w:rsidR="00A65DCF">
              <w:rPr>
                <w:color w:val="17365D"/>
                <w:sz w:val="22"/>
                <w:szCs w:val="22"/>
              </w:rPr>
              <w:t xml:space="preserve"> iz</w:t>
            </w:r>
            <w:r w:rsidR="0095197B">
              <w:rPr>
                <w:color w:val="17365D"/>
                <w:sz w:val="22"/>
                <w:szCs w:val="22"/>
              </w:rPr>
              <w:t xml:space="preserve"> proračuna grada Lepoglave</w:t>
            </w:r>
            <w:r w:rsidR="00040498">
              <w:rPr>
                <w:color w:val="17365D"/>
                <w:sz w:val="22"/>
                <w:szCs w:val="22"/>
              </w:rPr>
              <w:t xml:space="preserve"> te ostalih proračuna koji školi nisu nadležn</w:t>
            </w:r>
            <w:r w:rsidR="005E3B19">
              <w:rPr>
                <w:color w:val="17365D"/>
                <w:sz w:val="22"/>
                <w:szCs w:val="22"/>
              </w:rPr>
              <w:t xml:space="preserve">i </w:t>
            </w:r>
            <w:r w:rsidR="00A65DCF">
              <w:rPr>
                <w:color w:val="17365D"/>
                <w:sz w:val="22"/>
                <w:szCs w:val="22"/>
              </w:rPr>
              <w:t>u ukupnom iznos od 5.610,66 eura</w:t>
            </w:r>
            <w:r w:rsidR="00555819">
              <w:rPr>
                <w:color w:val="17365D"/>
                <w:sz w:val="22"/>
                <w:szCs w:val="22"/>
              </w:rPr>
              <w:t>,</w:t>
            </w:r>
            <w:r w:rsidR="00A65DCF">
              <w:rPr>
                <w:color w:val="17365D"/>
                <w:sz w:val="22"/>
                <w:szCs w:val="22"/>
              </w:rPr>
              <w:t xml:space="preserve"> a </w:t>
            </w:r>
            <w:r w:rsidR="00DE020A">
              <w:rPr>
                <w:color w:val="17365D"/>
                <w:sz w:val="22"/>
                <w:szCs w:val="22"/>
              </w:rPr>
              <w:t>utrošit će s</w:t>
            </w:r>
            <w:r w:rsidR="00555819">
              <w:rPr>
                <w:color w:val="17365D"/>
                <w:sz w:val="22"/>
                <w:szCs w:val="22"/>
              </w:rPr>
              <w:t>e kako slijedi: i</w:t>
            </w:r>
            <w:r w:rsidR="00353E48" w:rsidRPr="00353E48">
              <w:rPr>
                <w:color w:val="17365D"/>
                <w:sz w:val="22"/>
                <w:szCs w:val="22"/>
              </w:rPr>
              <w:t xml:space="preserve">znos od </w:t>
            </w:r>
            <w:r w:rsidR="00A65DCF">
              <w:rPr>
                <w:color w:val="17365D"/>
                <w:sz w:val="22"/>
                <w:szCs w:val="22"/>
              </w:rPr>
              <w:t>512,67</w:t>
            </w:r>
            <w:r w:rsidR="00D46509">
              <w:rPr>
                <w:color w:val="17365D"/>
                <w:sz w:val="22"/>
                <w:szCs w:val="22"/>
              </w:rPr>
              <w:t xml:space="preserve"> eur</w:t>
            </w:r>
            <w:r w:rsidR="000107C2">
              <w:rPr>
                <w:color w:val="17365D"/>
                <w:sz w:val="22"/>
                <w:szCs w:val="22"/>
              </w:rPr>
              <w:t>a</w:t>
            </w:r>
            <w:r w:rsidR="00353E48" w:rsidRPr="00353E48">
              <w:rPr>
                <w:color w:val="17365D"/>
                <w:sz w:val="22"/>
                <w:szCs w:val="22"/>
              </w:rPr>
              <w:t xml:space="preserve"> će se utrošiti</w:t>
            </w:r>
            <w:r w:rsidR="00A65DCF">
              <w:rPr>
                <w:color w:val="17365D"/>
                <w:sz w:val="22"/>
                <w:szCs w:val="22"/>
              </w:rPr>
              <w:t xml:space="preserve"> na kupnju sportske opreme, iznos </w:t>
            </w:r>
            <w:r w:rsidR="00DE020A">
              <w:rPr>
                <w:color w:val="17365D"/>
                <w:sz w:val="22"/>
                <w:szCs w:val="22"/>
              </w:rPr>
              <w:t xml:space="preserve">od </w:t>
            </w:r>
            <w:r w:rsidR="00A65DCF">
              <w:rPr>
                <w:color w:val="17365D"/>
                <w:sz w:val="22"/>
                <w:szCs w:val="22"/>
              </w:rPr>
              <w:t xml:space="preserve">381,00 </w:t>
            </w:r>
            <w:r w:rsidR="00DE020A">
              <w:rPr>
                <w:color w:val="17365D"/>
                <w:sz w:val="22"/>
                <w:szCs w:val="22"/>
              </w:rPr>
              <w:t xml:space="preserve">eura </w:t>
            </w:r>
            <w:r w:rsidR="00A65DCF">
              <w:rPr>
                <w:color w:val="17365D"/>
                <w:sz w:val="22"/>
                <w:szCs w:val="22"/>
              </w:rPr>
              <w:t xml:space="preserve">na </w:t>
            </w:r>
            <w:r w:rsidR="00782DBA">
              <w:rPr>
                <w:color w:val="17365D"/>
                <w:sz w:val="22"/>
                <w:szCs w:val="22"/>
              </w:rPr>
              <w:t>rashode</w:t>
            </w:r>
            <w:r w:rsidR="00A65DCF">
              <w:rPr>
                <w:color w:val="17365D"/>
                <w:sz w:val="22"/>
                <w:szCs w:val="22"/>
              </w:rPr>
              <w:t xml:space="preserve"> koji će nas</w:t>
            </w:r>
            <w:r w:rsidR="00C64E00">
              <w:rPr>
                <w:color w:val="17365D"/>
                <w:sz w:val="22"/>
                <w:szCs w:val="22"/>
              </w:rPr>
              <w:t xml:space="preserve">tati provedbom CAP programa </w:t>
            </w:r>
            <w:r w:rsidR="00C64E00" w:rsidRPr="00C64E00">
              <w:rPr>
                <w:color w:val="17365D"/>
                <w:sz w:val="22"/>
                <w:szCs w:val="22"/>
              </w:rPr>
              <w:t>primarne prevencije zlostavljanja djece predškolske i školske dobi</w:t>
            </w:r>
            <w:r w:rsidR="00555819">
              <w:rPr>
                <w:color w:val="17365D"/>
                <w:sz w:val="22"/>
                <w:szCs w:val="22"/>
              </w:rPr>
              <w:t xml:space="preserve">, iznos od 4.716,99 eura utrošiti će se na </w:t>
            </w:r>
            <w:r w:rsidR="005E3B19" w:rsidRPr="005E3B19">
              <w:rPr>
                <w:color w:val="17365D"/>
                <w:sz w:val="22"/>
                <w:szCs w:val="22"/>
              </w:rPr>
              <w:t>p</w:t>
            </w:r>
            <w:r w:rsidR="00C5043C">
              <w:rPr>
                <w:color w:val="17365D"/>
                <w:sz w:val="22"/>
                <w:szCs w:val="22"/>
              </w:rPr>
              <w:t>laćanje</w:t>
            </w:r>
            <w:r w:rsidR="00C64E00">
              <w:rPr>
                <w:color w:val="17365D"/>
                <w:sz w:val="22"/>
                <w:szCs w:val="22"/>
              </w:rPr>
              <w:t xml:space="preserve"> tere</w:t>
            </w:r>
            <w:r w:rsidR="00A65DCF">
              <w:rPr>
                <w:color w:val="17365D"/>
                <w:sz w:val="22"/>
                <w:szCs w:val="22"/>
              </w:rPr>
              <w:t>n</w:t>
            </w:r>
            <w:r w:rsidR="00C64E00">
              <w:rPr>
                <w:color w:val="17365D"/>
                <w:sz w:val="22"/>
                <w:szCs w:val="22"/>
              </w:rPr>
              <w:t>s</w:t>
            </w:r>
            <w:r w:rsidR="00A65DCF">
              <w:rPr>
                <w:color w:val="17365D"/>
                <w:sz w:val="22"/>
                <w:szCs w:val="22"/>
              </w:rPr>
              <w:t>ke nastave pojedinim učenicima</w:t>
            </w:r>
            <w:r w:rsidR="00555819">
              <w:rPr>
                <w:color w:val="17365D"/>
                <w:sz w:val="22"/>
                <w:szCs w:val="22"/>
              </w:rPr>
              <w:t xml:space="preserve"> o</w:t>
            </w:r>
            <w:r w:rsidR="00555819" w:rsidRPr="005E3B19">
              <w:rPr>
                <w:color w:val="17365D"/>
                <w:sz w:val="22"/>
                <w:szCs w:val="22"/>
              </w:rPr>
              <w:t>bzirom da grad Lepoglava sufinancira</w:t>
            </w:r>
            <w:r w:rsidR="00555819">
              <w:rPr>
                <w:color w:val="17365D"/>
                <w:sz w:val="22"/>
                <w:szCs w:val="22"/>
              </w:rPr>
              <w:t xml:space="preserve"> potrebe učenika slabijeg imovinskog stanja, a preostali iznos utrošiti će se za</w:t>
            </w:r>
            <w:r w:rsidR="00555819" w:rsidRPr="005E3B19">
              <w:rPr>
                <w:color w:val="17365D"/>
                <w:sz w:val="22"/>
                <w:szCs w:val="22"/>
              </w:rPr>
              <w:t xml:space="preserve"> </w:t>
            </w:r>
            <w:r w:rsidR="0095197B" w:rsidRPr="005E3B19">
              <w:rPr>
                <w:color w:val="17365D"/>
                <w:sz w:val="22"/>
                <w:szCs w:val="22"/>
              </w:rPr>
              <w:t>potrebe učeničke zadruge</w:t>
            </w:r>
            <w:r w:rsidR="00E630B8">
              <w:rPr>
                <w:color w:val="17365D"/>
                <w:sz w:val="22"/>
                <w:szCs w:val="22"/>
              </w:rPr>
              <w:t xml:space="preserve"> kao i na</w:t>
            </w:r>
            <w:r w:rsidR="001C3E70" w:rsidRPr="005910BC">
              <w:rPr>
                <w:color w:val="17365D"/>
                <w:sz w:val="22"/>
                <w:szCs w:val="22"/>
              </w:rPr>
              <w:t xml:space="preserve"> održavanje </w:t>
            </w:r>
            <w:r w:rsidR="005910BC">
              <w:rPr>
                <w:color w:val="17365D"/>
                <w:sz w:val="22"/>
                <w:szCs w:val="22"/>
              </w:rPr>
              <w:t xml:space="preserve">vanjskog i </w:t>
            </w:r>
            <w:r w:rsidR="001C3E70" w:rsidRPr="005910BC">
              <w:rPr>
                <w:color w:val="17365D"/>
                <w:sz w:val="22"/>
                <w:szCs w:val="22"/>
              </w:rPr>
              <w:t>unut</w:t>
            </w:r>
            <w:r w:rsidR="0095197B" w:rsidRPr="005910BC">
              <w:rPr>
                <w:color w:val="17365D"/>
                <w:sz w:val="22"/>
                <w:szCs w:val="22"/>
              </w:rPr>
              <w:t>ar</w:t>
            </w:r>
            <w:r w:rsidR="005910BC">
              <w:rPr>
                <w:color w:val="17365D"/>
                <w:sz w:val="22"/>
                <w:szCs w:val="22"/>
              </w:rPr>
              <w:t>njeg prostora</w:t>
            </w:r>
            <w:r w:rsidR="00E630B8">
              <w:rPr>
                <w:color w:val="17365D"/>
                <w:sz w:val="22"/>
                <w:szCs w:val="22"/>
              </w:rPr>
              <w:t>.</w:t>
            </w:r>
          </w:p>
          <w:p w:rsidR="007D0F3C" w:rsidRPr="005910BC" w:rsidRDefault="00C64E00" w:rsidP="00782DBA">
            <w:pPr>
              <w:jc w:val="both"/>
              <w:rPr>
                <w:color w:val="17365D"/>
                <w:sz w:val="22"/>
                <w:szCs w:val="22"/>
              </w:rPr>
            </w:pPr>
            <w:r>
              <w:rPr>
                <w:color w:val="17365D"/>
                <w:sz w:val="22"/>
                <w:szCs w:val="22"/>
              </w:rPr>
              <w:t>M</w:t>
            </w:r>
            <w:r w:rsidR="007D0F3C">
              <w:rPr>
                <w:color w:val="17365D"/>
                <w:sz w:val="22"/>
                <w:szCs w:val="22"/>
              </w:rPr>
              <w:t>anj</w:t>
            </w:r>
            <w:r>
              <w:rPr>
                <w:color w:val="17365D"/>
                <w:sz w:val="22"/>
                <w:szCs w:val="22"/>
              </w:rPr>
              <w:t>ak</w:t>
            </w:r>
            <w:r w:rsidR="007D0F3C">
              <w:rPr>
                <w:color w:val="17365D"/>
                <w:sz w:val="22"/>
                <w:szCs w:val="22"/>
              </w:rPr>
              <w:t xml:space="preserve"> prihoda od nefinancijske imovine </w:t>
            </w:r>
            <w:r w:rsidR="00555819">
              <w:rPr>
                <w:color w:val="17365D"/>
                <w:sz w:val="22"/>
                <w:szCs w:val="22"/>
              </w:rPr>
              <w:t xml:space="preserve">na računu 92222 </w:t>
            </w:r>
            <w:r w:rsidR="007D0F3C">
              <w:rPr>
                <w:color w:val="17365D"/>
                <w:sz w:val="22"/>
                <w:szCs w:val="22"/>
              </w:rPr>
              <w:t xml:space="preserve">u iznosu od 90,79 eura odnosi </w:t>
            </w:r>
            <w:r>
              <w:rPr>
                <w:color w:val="17365D"/>
                <w:sz w:val="22"/>
                <w:szCs w:val="22"/>
              </w:rPr>
              <w:t xml:space="preserve">se </w:t>
            </w:r>
            <w:r w:rsidR="007D0F3C">
              <w:rPr>
                <w:color w:val="17365D"/>
                <w:sz w:val="22"/>
                <w:szCs w:val="22"/>
              </w:rPr>
              <w:t>na</w:t>
            </w:r>
            <w:r w:rsidR="00782DBA">
              <w:rPr>
                <w:color w:val="17365D"/>
                <w:sz w:val="22"/>
                <w:szCs w:val="22"/>
              </w:rPr>
              <w:t xml:space="preserve"> rashod</w:t>
            </w:r>
            <w:r w:rsidR="007D0F3C">
              <w:rPr>
                <w:color w:val="17365D"/>
                <w:sz w:val="22"/>
                <w:szCs w:val="22"/>
              </w:rPr>
              <w:t xml:space="preserve"> nabave knjige „Herojski Vukovar“ koji je n</w:t>
            </w:r>
            <w:r>
              <w:rPr>
                <w:color w:val="17365D"/>
                <w:sz w:val="22"/>
                <w:szCs w:val="22"/>
              </w:rPr>
              <w:t>astao u 2025. godini, a za koji</w:t>
            </w:r>
            <w:r w:rsidR="007D0F3C">
              <w:rPr>
                <w:color w:val="17365D"/>
                <w:sz w:val="22"/>
                <w:szCs w:val="22"/>
              </w:rPr>
              <w:t xml:space="preserve"> će škola dobila sredstva u 2026. godini.</w:t>
            </w:r>
          </w:p>
          <w:p w:rsidR="00353E48" w:rsidRDefault="00353E48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  <w:p w:rsidR="000E108D" w:rsidRDefault="00E80DB7" w:rsidP="00782DBA">
            <w:pPr>
              <w:jc w:val="both"/>
              <w:rPr>
                <w:color w:val="17365D"/>
                <w:sz w:val="22"/>
                <w:szCs w:val="22"/>
              </w:rPr>
            </w:pPr>
            <w:r w:rsidRPr="001E4648">
              <w:rPr>
                <w:color w:val="17365D"/>
                <w:sz w:val="22"/>
                <w:szCs w:val="22"/>
              </w:rPr>
              <w:t xml:space="preserve">Izvor 71 </w:t>
            </w:r>
            <w:r w:rsidR="00555819">
              <w:rPr>
                <w:color w:val="17365D"/>
                <w:sz w:val="22"/>
                <w:szCs w:val="22"/>
              </w:rPr>
              <w:t>–</w:t>
            </w:r>
            <w:r>
              <w:rPr>
                <w:color w:val="17365D"/>
                <w:sz w:val="22"/>
                <w:szCs w:val="22"/>
              </w:rPr>
              <w:t xml:space="preserve"> </w:t>
            </w:r>
            <w:r w:rsidR="00555819">
              <w:rPr>
                <w:color w:val="17365D"/>
                <w:sz w:val="22"/>
                <w:szCs w:val="22"/>
              </w:rPr>
              <w:t>Prihodi od prodaje nefinancijske imovine - s</w:t>
            </w:r>
            <w:r w:rsidR="00353E48" w:rsidRPr="00353E48">
              <w:rPr>
                <w:color w:val="17365D"/>
                <w:sz w:val="22"/>
                <w:szCs w:val="22"/>
              </w:rPr>
              <w:t>redstva od viška prihoda od prodaje nef</w:t>
            </w:r>
            <w:r w:rsidR="0095197B">
              <w:rPr>
                <w:color w:val="17365D"/>
                <w:sz w:val="22"/>
                <w:szCs w:val="22"/>
              </w:rPr>
              <w:t xml:space="preserve">inancijske imovine </w:t>
            </w:r>
            <w:r w:rsidR="00555819">
              <w:rPr>
                <w:color w:val="17365D"/>
                <w:sz w:val="22"/>
                <w:szCs w:val="22"/>
              </w:rPr>
              <w:t xml:space="preserve">na računu 92212 </w:t>
            </w:r>
            <w:r w:rsidR="0095197B">
              <w:rPr>
                <w:color w:val="17365D"/>
                <w:sz w:val="22"/>
                <w:szCs w:val="22"/>
              </w:rPr>
              <w:t>utrošiti će se za</w:t>
            </w:r>
            <w:r w:rsidR="00353E48" w:rsidRPr="00353E48">
              <w:rPr>
                <w:color w:val="17365D"/>
                <w:sz w:val="22"/>
                <w:szCs w:val="22"/>
              </w:rPr>
              <w:t xml:space="preserve"> kupnju potrebne opreme</w:t>
            </w:r>
            <w:r w:rsidR="001D0CC6">
              <w:rPr>
                <w:color w:val="17365D"/>
                <w:sz w:val="22"/>
                <w:szCs w:val="22"/>
              </w:rPr>
              <w:t>.</w:t>
            </w:r>
          </w:p>
          <w:p w:rsidR="00C5043C" w:rsidRPr="00E45F75" w:rsidRDefault="00C5043C" w:rsidP="00782DBA">
            <w:pPr>
              <w:jc w:val="both"/>
              <w:rPr>
                <w:color w:val="17365D"/>
                <w:sz w:val="22"/>
                <w:szCs w:val="22"/>
              </w:rPr>
            </w:pPr>
          </w:p>
        </w:tc>
      </w:tr>
    </w:tbl>
    <w:p w:rsidR="00C5043C" w:rsidRDefault="00C5043C" w:rsidP="00782DBA">
      <w:pPr>
        <w:jc w:val="both"/>
        <w:rPr>
          <w:b/>
        </w:rPr>
      </w:pPr>
    </w:p>
    <w:p w:rsidR="00BC7E07" w:rsidRPr="00163A2F" w:rsidRDefault="00BC7E07" w:rsidP="00782DBA">
      <w:pPr>
        <w:ind w:left="4956" w:firstLine="708"/>
        <w:jc w:val="both"/>
        <w:rPr>
          <w:b/>
        </w:rPr>
      </w:pPr>
      <w:r>
        <w:rPr>
          <w:b/>
        </w:rPr>
        <w:t>PREDSJEDNIK</w:t>
      </w:r>
      <w:r>
        <w:rPr>
          <w:b/>
        </w:rPr>
        <w:br/>
        <w:t xml:space="preserve">      ŠKOLSKOG ODBORA</w:t>
      </w:r>
    </w:p>
    <w:p w:rsidR="002B626F" w:rsidRDefault="00EB2B18" w:rsidP="00782DBA">
      <w:pPr>
        <w:jc w:val="both"/>
      </w:pPr>
      <w:r>
        <w:t xml:space="preserve">                                                           </w:t>
      </w:r>
      <w:r w:rsidR="00782DBA">
        <w:t xml:space="preserve">                                   </w:t>
      </w:r>
      <w:r>
        <w:t xml:space="preserve">     Ivan Štefek</w:t>
      </w:r>
    </w:p>
    <w:sectPr w:rsidR="002B626F" w:rsidSect="000E10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C04"/>
    <w:multiLevelType w:val="hybridMultilevel"/>
    <w:tmpl w:val="F1B8C45A"/>
    <w:lvl w:ilvl="0" w:tplc="C2502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0378C"/>
    <w:multiLevelType w:val="hybridMultilevel"/>
    <w:tmpl w:val="4EF46AD4"/>
    <w:lvl w:ilvl="0" w:tplc="805E09AC">
      <w:start w:val="38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670193"/>
    <w:multiLevelType w:val="hybridMultilevel"/>
    <w:tmpl w:val="D61A26AA"/>
    <w:lvl w:ilvl="0" w:tplc="CE2273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0083C"/>
    <w:multiLevelType w:val="hybridMultilevel"/>
    <w:tmpl w:val="6742B444"/>
    <w:lvl w:ilvl="0" w:tplc="805E09AC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51"/>
    <w:rsid w:val="00006EC8"/>
    <w:rsid w:val="000107C2"/>
    <w:rsid w:val="00021D57"/>
    <w:rsid w:val="00040498"/>
    <w:rsid w:val="00044CEE"/>
    <w:rsid w:val="000C687F"/>
    <w:rsid w:val="000E108D"/>
    <w:rsid w:val="000E72F2"/>
    <w:rsid w:val="000F0EED"/>
    <w:rsid w:val="000F2564"/>
    <w:rsid w:val="00132AB9"/>
    <w:rsid w:val="001C3E70"/>
    <w:rsid w:val="001D0CC6"/>
    <w:rsid w:val="001E4648"/>
    <w:rsid w:val="002144EA"/>
    <w:rsid w:val="00230DEC"/>
    <w:rsid w:val="00244C3E"/>
    <w:rsid w:val="00250705"/>
    <w:rsid w:val="00250C0C"/>
    <w:rsid w:val="00251B29"/>
    <w:rsid w:val="0025487D"/>
    <w:rsid w:val="0026430C"/>
    <w:rsid w:val="00264C8F"/>
    <w:rsid w:val="002B626F"/>
    <w:rsid w:val="002C5564"/>
    <w:rsid w:val="002D41AE"/>
    <w:rsid w:val="00353E48"/>
    <w:rsid w:val="00390733"/>
    <w:rsid w:val="003A1C43"/>
    <w:rsid w:val="003A3DB4"/>
    <w:rsid w:val="003A67DB"/>
    <w:rsid w:val="003B1CBC"/>
    <w:rsid w:val="003B63F9"/>
    <w:rsid w:val="003C5325"/>
    <w:rsid w:val="003C7DCB"/>
    <w:rsid w:val="003D0A0B"/>
    <w:rsid w:val="003D46E1"/>
    <w:rsid w:val="00407677"/>
    <w:rsid w:val="004155E5"/>
    <w:rsid w:val="004362AC"/>
    <w:rsid w:val="004374F3"/>
    <w:rsid w:val="00464B76"/>
    <w:rsid w:val="00480051"/>
    <w:rsid w:val="004C1989"/>
    <w:rsid w:val="004C33E3"/>
    <w:rsid w:val="004D6D2D"/>
    <w:rsid w:val="004E63C9"/>
    <w:rsid w:val="005160CD"/>
    <w:rsid w:val="0053794B"/>
    <w:rsid w:val="00555819"/>
    <w:rsid w:val="005565C6"/>
    <w:rsid w:val="00562374"/>
    <w:rsid w:val="00573DFA"/>
    <w:rsid w:val="00587D7F"/>
    <w:rsid w:val="005902B7"/>
    <w:rsid w:val="005910BC"/>
    <w:rsid w:val="00594BAF"/>
    <w:rsid w:val="005A5737"/>
    <w:rsid w:val="005C7AB9"/>
    <w:rsid w:val="005E3B19"/>
    <w:rsid w:val="00605AD8"/>
    <w:rsid w:val="00620D70"/>
    <w:rsid w:val="00624170"/>
    <w:rsid w:val="006330C6"/>
    <w:rsid w:val="006A15FC"/>
    <w:rsid w:val="006A2E2A"/>
    <w:rsid w:val="006B52D2"/>
    <w:rsid w:val="00700AB5"/>
    <w:rsid w:val="007027AB"/>
    <w:rsid w:val="00711B51"/>
    <w:rsid w:val="00712015"/>
    <w:rsid w:val="0071695D"/>
    <w:rsid w:val="007272B8"/>
    <w:rsid w:val="0076586A"/>
    <w:rsid w:val="00774E35"/>
    <w:rsid w:val="007770AC"/>
    <w:rsid w:val="00782DBA"/>
    <w:rsid w:val="00783B12"/>
    <w:rsid w:val="007A78A7"/>
    <w:rsid w:val="007C6FEC"/>
    <w:rsid w:val="007C7428"/>
    <w:rsid w:val="007D0F3C"/>
    <w:rsid w:val="00852D39"/>
    <w:rsid w:val="008962AF"/>
    <w:rsid w:val="008D390E"/>
    <w:rsid w:val="00934152"/>
    <w:rsid w:val="00936E0C"/>
    <w:rsid w:val="0095197B"/>
    <w:rsid w:val="009970B6"/>
    <w:rsid w:val="009971C6"/>
    <w:rsid w:val="009A7992"/>
    <w:rsid w:val="009C3454"/>
    <w:rsid w:val="00A01DF8"/>
    <w:rsid w:val="00A07F40"/>
    <w:rsid w:val="00A30D7B"/>
    <w:rsid w:val="00A35C6B"/>
    <w:rsid w:val="00A406DC"/>
    <w:rsid w:val="00A50C69"/>
    <w:rsid w:val="00A65DCF"/>
    <w:rsid w:val="00A93EBD"/>
    <w:rsid w:val="00AA0775"/>
    <w:rsid w:val="00B4238B"/>
    <w:rsid w:val="00B5284D"/>
    <w:rsid w:val="00B75198"/>
    <w:rsid w:val="00B80E31"/>
    <w:rsid w:val="00BA005E"/>
    <w:rsid w:val="00BC7E07"/>
    <w:rsid w:val="00BE5AC9"/>
    <w:rsid w:val="00BF4344"/>
    <w:rsid w:val="00BF7D97"/>
    <w:rsid w:val="00C00288"/>
    <w:rsid w:val="00C37F65"/>
    <w:rsid w:val="00C50357"/>
    <w:rsid w:val="00C5043C"/>
    <w:rsid w:val="00C5673E"/>
    <w:rsid w:val="00C64E00"/>
    <w:rsid w:val="00C75A1E"/>
    <w:rsid w:val="00C8590B"/>
    <w:rsid w:val="00C94816"/>
    <w:rsid w:val="00CA5EE8"/>
    <w:rsid w:val="00CC2CEF"/>
    <w:rsid w:val="00CF4BF2"/>
    <w:rsid w:val="00D00F53"/>
    <w:rsid w:val="00D04E41"/>
    <w:rsid w:val="00D16841"/>
    <w:rsid w:val="00D24A90"/>
    <w:rsid w:val="00D2660F"/>
    <w:rsid w:val="00D46509"/>
    <w:rsid w:val="00D54379"/>
    <w:rsid w:val="00D603F3"/>
    <w:rsid w:val="00D62C1C"/>
    <w:rsid w:val="00DA7CA2"/>
    <w:rsid w:val="00DD2677"/>
    <w:rsid w:val="00DD7D03"/>
    <w:rsid w:val="00DE020A"/>
    <w:rsid w:val="00E07F86"/>
    <w:rsid w:val="00E23A52"/>
    <w:rsid w:val="00E57E64"/>
    <w:rsid w:val="00E610AA"/>
    <w:rsid w:val="00E630B8"/>
    <w:rsid w:val="00E80DB7"/>
    <w:rsid w:val="00E87937"/>
    <w:rsid w:val="00EB2B18"/>
    <w:rsid w:val="00EC55EB"/>
    <w:rsid w:val="00F047BE"/>
    <w:rsid w:val="00F4165E"/>
    <w:rsid w:val="00F63336"/>
    <w:rsid w:val="00F9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0D90"/>
  <w15:docId w15:val="{26E96AD2-B5AE-46FE-83B6-8AFD5922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5A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BD71-83D3-4F76-90BA-3C81615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Makaj Kefelja</dc:creator>
  <cp:lastModifiedBy>Windows korisnik</cp:lastModifiedBy>
  <cp:revision>71</cp:revision>
  <cp:lastPrinted>2026-02-09T08:42:00Z</cp:lastPrinted>
  <dcterms:created xsi:type="dcterms:W3CDTF">2022-02-21T10:28:00Z</dcterms:created>
  <dcterms:modified xsi:type="dcterms:W3CDTF">2026-03-24T09:55:00Z</dcterms:modified>
</cp:coreProperties>
</file>