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dc6b0a419ce49e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13869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IVANA RANGERA, KAMENICA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1.019.982,50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1.164.929,14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1.010.659,46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1.184.078,86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19.149,72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48.731,98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33.786,12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47.496,45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24.463,08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66.646,17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272,4</w:t>
            </w:r>
          </w:p>
        </w:tc>
      </w:tr>
    </w:tbl>
    <w:p>
      <w:pPr>
        <w:spacing w:before="0" w:after="0"/>
      </w:pPr>
    </w:p>
    <w:p>
      <w:r>
        <w:t xml:space="preserve">U razdoblju od 1.1.2025. do 31.12.2025. prihodi poslovanja ostvareni su u iznosu od 1.164.929,14 eura. Najznačajnije povećanje prihoda poslovanja ostvareno je od prihoda iz nadležnog proračuna za financiranje rashoda za nabavu nefinancijske imovine – zaprimljena su sredstava od Varaždinske županije za materijalnu imovinu nabavljenu krajem 2024. godine (pvc stolarija, oprema za informatičku učionicu), također, u izvještajnom razdoblju ove godine došlo je do nabave novih alata potrebnih za redovno održavanje okoliša kao i do izmjene rasvjete iznad ploča prema uputi mjerodavne tvrtke Vizor d.o.o. nakon ispitivanja stanja rasvjete.  Najveći dio iznosa se odnosi na izradu projektno tehničke dokumentacije za dogradnju građevine jednodijelne sportske dvorane.  Također veće povećanje vidi se i kod tekućih prijenosa između proračunskih korisnika istog proračuna i tekućih prijenosa između proračunskih korisnika istog proračuna temeljem prijenosa EU sredstava za financiranje plaće za pomoćnike u nastavi koji su u izvještajnom razdoblju prethodne godine bili financirani iz sredstava Varaždinske županije što je prikazano na odjeljku 6711.</w:t>
      </w:r>
    </w:p>
    <w:p>
      <w:r>
        <w:t xml:space="preserve">Rashodi poslovanja u razdoblju od 1.1.2025. do 31.12.2025. ostvareni su u iznosu od 1.184.078,86 eura.  Najznačajnije povećanje rashoda poslovanja evidentirano je na rashodima za usluge tekućeg i investicijskog održavanja koji se odnose na nabavu PVC prozora za dio školskih prostorija, izvođenje elektroradova na prilagođavanju ulaska u Školu prema mjerama sigurnosti, hidroizolacijske i soboslikarske radove, ugradnju kanalizacijskih cijevi i sanaciju unutarnjih oštećenja nakon zamjene dotrajale stolarije. Najznačajnije smanjenje rashoda poslovanja evidentirano je kod reprezentacije i nabave službene i zaštitne odjeće jer se u izvještajnom razdoblju nabavila oprema za kuhara, dok je u istom razdoblju prošle godine bila nabavljena oprema za kuharicu i domare.  </w:t>
      </w:r>
    </w:p>
    <w:p>
      <w:r>
        <w:t xml:space="preserve">Prihodi od prodaje nefinancijske imovine u razdoblju od 1.1.2025. do 31.12.2025. ostvareni su u iznosu 1.235,53 eura. U navedenom razdoblju došlo je do povećanja prihoda od prodaje nefinancijske imovine jer su tekuće godine plaćene rate za stan koje su se odnosile na prethodnu godinu.  </w:t>
      </w:r>
    </w:p>
    <w:p>
      <w:r>
        <w:t xml:space="preserve">Rashodi za nabavu nefinancijske imovine u razdoblju od 1.1.2025. do 31.12.2025. ostvareni su u iznosu 48.731,98 eura. Navedeni rashodi odnose se na izmjenu rasvjete iznad ploča i izradu projektno tehničke dokumentacije za dogradnju školske sportske dvorane, nabavu opreme za knjižnicu, sportsku dvoranu, kuhinju i učionice.   </w:t>
      </w:r>
    </w:p>
    <w:p>
      <w:r>
        <w:t xml:space="preserve">U navedenom razdoblju nije bilo ostvarenih primitaka i  izdataka od financijske imovine i zaduživanja.</w:t>
      </w:r>
    </w:p>
    <w:p>
      <w:r>
        <w:t xml:space="preserve">U razdoblju od 1.1.2025. do 31.12.2025. ostvaren je manjak prihoda poslovanja u iznosu od 19.149,72 eura i manjak prihoda od nefinancijske imovine u iznosu od  47.496,45 eura slijedom čega je na kraju izvještajnog razdoblja ostvaren ukupan manjak prihoda i primitaka u iznosu od 66.646,17 eura. Manjak je rezultat priznavanja rashoda za plaće, materijalna prava, naknadu za nezapošljavanje invalida, prehranu, knjigu "Herojski Vukovar" koje se prema  novom Pravilniku o proračunskom računovodstvu i Računskom planu od 1.1.2025. godine knjigovodstveno evidentiraju u trenutku nastanka poslovnog događaja. Manjak će se pokriti u siječnju 2026. godine na dan isplate i priznavanja prihoda za plaće, materijalna prava, naknadu za nezapošljavanje invalida, i prehranu za prosinac 2025. godine, te priznavanjem prihoda za ostale materijalne rashode za koje će sredstva biti isplaćena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909.979,00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942.127,18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r>
        <w:t xml:space="preserve">Povećanje zbog povećanja osnovice za plaću.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bl>
    <w:p>
      <w:pPr>
        <w:spacing w:before="0" w:after="0"/>
      </w:pPr>
    </w:p>
    <w:p>
      <w:r>
        <w:t xml:space="preserve">Smanjenje jer su prethodne izvještajne godine dobivena sredstva od grada Lepoglave za sufinanciranje postavljanja videonadzora u školskom dvorištu.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391,2</w:t>
            </w:r>
          </w:p>
        </w:tc>
      </w:tr>
    </w:tbl>
    <w:p>
      <w:pPr>
        <w:spacing w:before="0" w:after="0"/>
      </w:pPr>
    </w:p>
    <w:p>
      <w:r>
        <w:t xml:space="preserve">Ukupan iznos od 45.731,13 eura je dobiven od Varaždinske županije za financiranje plaće i ostalih rashoda vezanih za asistente u nastavi.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w:t>
            </w:r>
          </w:p>
        </w:tc>
      </w:tr>
    </w:tbl>
    <w:p>
      <w:pPr>
        <w:spacing w:before="0" w:after="0"/>
      </w:pPr>
    </w:p>
    <w:p>
      <w:r>
        <w:t xml:space="preserve">Primljena sredstva za plaću za asistente u nastavi za prosinac, siječanj, veljaču, svibanj, lipanj i srpanj. U izvještajnom razdoblju prethodne godine prihodi se odnose samo za plaću za studeni.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23.227,61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374,3</w:t>
            </w:r>
          </w:p>
        </w:tc>
      </w:tr>
    </w:tbl>
    <w:p>
      <w:pPr>
        <w:spacing w:before="0" w:after="0"/>
      </w:pPr>
    </w:p>
    <w:p>
      <w:r>
        <w:t xml:space="preserve">Primljena sredstva za plaću za asistente u nastavi za ožujak, travanj, kolovoz, rujan, listopad i studeni, dok su u prethodnom izvještajnom razdoblju mjeseci rujan i listopad.</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w:t>
            </w:r>
          </w:p>
        </w:tc>
      </w:tr>
    </w:tbl>
    <w:p>
      <w:pPr>
        <w:spacing w:before="0" w:after="0"/>
      </w:pPr>
    </w:p>
    <w:p>
      <w:r>
        <w:t xml:space="preserve">Smanjenje u odnosu na 2024. godinu jer je u 2024. godini ostvaren prihod od uplate učenika za ispite znanja, osiguranje dok u izvještajnom razdoblju uplate takve vrste nisu uplaćivane na žiro račun škole.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64.442,99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552,0</w:t>
            </w:r>
          </w:p>
        </w:tc>
      </w:tr>
    </w:tbl>
    <w:p>
      <w:pPr>
        <w:spacing w:before="0" w:after="0"/>
      </w:pPr>
    </w:p>
    <w:p>
      <w:r>
        <w:t xml:space="preserve">Prihodi su u izvještajnom razdoblju povećani zbog sredstava koje je OŠ Ivana Rangera zaprimila od Varaždinske županije za materijalnu imovinu nabavljenu krajem 2024. godine (pvc stolarija, oprema za informatičku učionicu), također, u izvještajnom razdoblju ove godine došlo je do nabave novih alata potrebnih za redovno održavanje okoliša kao i do izmjene rasvjete iznad ploča prema uputi mjerodavne tvrtke Vizor d.o.o. nakon ispitivanja stanja rasvjete.  Najveći dio iznosa se odnosi na izradu projektno tehničke dokumentacije za dogradnju građevine jednodijelne sportske dvorane. Ostvaren iznos u prethodnom izvještajnom razdoblju se odnosi na ormar za zbornicu koji je nabavljen u prosincu 2023. godine, a sredstva je Škola zaprimila od Varaždinske županije u siječnju 2024.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1232,8</w:t>
            </w:r>
          </w:p>
        </w:tc>
      </w:tr>
    </w:tbl>
    <w:p>
      <w:pPr>
        <w:spacing w:before="0" w:after="0"/>
      </w:pPr>
    </w:p>
    <w:p>
      <w:r>
        <w:t xml:space="preserve">Kupljen je materijal za tekuće održavanje opreme - alati za košnju i održavanje školskog okoliša i opreme u učionicama.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47.520,58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2856,7</w:t>
            </w:r>
          </w:p>
        </w:tc>
      </w:tr>
    </w:tbl>
    <w:p>
      <w:pPr>
        <w:spacing w:before="0" w:after="0"/>
      </w:pPr>
    </w:p>
    <w:p>
      <w:r>
        <w:t xml:space="preserve">Povećanje zbog nabave PVC prozora za dio školskih prostorija, te izvođenje elektroradova na prilagođavanju ulaska u Školu prema mjerama sigurnosti. Povećanje se odnosi i na hidroizolacijske i soboslikarske radove u učionicama, te na sanaciju dijela krovišta u područnoj školi.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w:t>
            </w:r>
          </w:p>
        </w:tc>
      </w:tr>
    </w:tbl>
    <w:p>
      <w:pPr>
        <w:spacing w:before="0" w:after="0"/>
      </w:pPr>
    </w:p>
    <w:p>
      <w:r>
        <w:t xml:space="preserve">U izvještajnom razdoblju je naplata najma stana redovitija od izvještajnog razdoblja prethodne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bl>
    <w:p>
      <w:pPr>
        <w:spacing w:before="0" w:after="0"/>
      </w:pPr>
    </w:p>
    <w:p>
      <w:r>
        <w:t xml:space="preserve">Povećanje jer su tekuće godine plaćene rate za stan koje su se odnosile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w:t>
            </w:r>
          </w:p>
        </w:tc>
      </w:tr>
    </w:tbl>
    <w:p>
      <w:pPr>
        <w:spacing w:before="0" w:after="0"/>
      </w:pPr>
    </w:p>
    <w:p>
      <w:r>
        <w:t xml:space="preserve">Dodatna ulaganja na građevinskim objektima se u tekućem izvještajnom razdoblju odnose na izmjenu rasvjete iznad ploča i izradu projektno tehničke dokumentacije za dogradnju školske sportske dvorane.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80.183,61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2713,2</w:t>
            </w:r>
          </w:p>
        </w:tc>
      </w:tr>
    </w:tbl>
    <w:p>
      <w:pPr>
        <w:spacing w:before="0" w:after="0"/>
      </w:pPr>
    </w:p>
    <w:p>
      <w:r>
        <w:t xml:space="preserve">U tekućem izvještajnom razdoblju povećanje zbog evidentiranja potraživanja za plaće, materijalna prava, naknadu za nezapošljavanje invalida, prehranu i knjigu "Herojski Vukovar" od Ministarstva znanosti, obrazovanja i mladih. </w:t>
      </w:r>
    </w:p>
    <w:p>
      <w:r>
        <w:t xml:space="preserv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24.463,08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66.646,17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w:t>
            </w:r>
          </w:p>
        </w:tc>
      </w:tr>
    </w:tbl>
    <w:p>
      <w:pPr>
        <w:spacing w:before="0" w:after="0"/>
      </w:pPr>
    </w:p>
    <w:p>
      <w:r>
        <w:t xml:space="preserve">Manjak je rezultat priznavanja rashoda koji se prema novom Pravilniku o proračunskom računovodstvu i Računskom planu od 1.1.2025. godine knjigovodstveno evidentiraju u trenutku nastanku poslovnog događaja. Manjak će se pokriti na dan isplate i priznavanja prihoda za plaće, materijalna prava, naknadu za nezapošljavanje invalida za prosinac 2025. godine, te priznavanjem ostalih prihoda za materijalne troškove za koje će sredstva biti uplaćena u siječnju 2026.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Prenesenim rezultatom od 2.563,40 eura i manjkom tekućeg izvještajnog razdoblja dolazi se do manjka prihoda i primitka za pokriće u sljedećem razdoblju koji će se pokriti na dan isplate i priznavanja prihoda za plaću, materijalna prava i naknadu za nezapošljavanje invalida za prosinac 2025. godine, te priznavanjem prihoda za prehranu i ostale materijalne troškove za koje će se sredstva dobiti u siječnju 2026.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73.836,42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Podskupina računa 193 Kontinuirani rashodi budućih razdoblja je primjenom novog Pravilnika o proračunskom računovodstvu i Računskom planu s 1.1.2025. godine ukinuta pa je u tekućem izvještajnom razdoblju iznos 0,00 eura, dok se u prethodnom izvještajnom razdoblju iznos odnosi na rashod obračuna plaće za prosinac 2024. godine.</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6980,7</w:t>
            </w:r>
          </w:p>
        </w:tc>
      </w:tr>
    </w:tbl>
    <w:p>
      <w:pPr>
        <w:spacing w:before="0" w:after="0"/>
      </w:pPr>
    </w:p>
    <w:p>
      <w:r>
        <w:t xml:space="preserve">Iznos se odnosi na potraživanje od Hrvatskog zavoda za zdravstveno osiguranje za naknadu plaće za bolovanje. Hrvatski zavod za zdravstveno osiguranje je u prošlom izvještajnom razdoblju refundirao naknadu plaće za bolovanje na teret HZZO-a proračunskim korisnicima čije se plaće isplaćuju na teret sredstava državnog proračuna od 2023. godine zaključno do naknade plaće za studeni 2024. U tekućem izvještajnom razdoblju refundirane su sve naknade plaće osim naknade za listopad, studeni i prosinac 2025.godine. Iznos naknade je u tekućem izvještajnom razdoblju veći zbog većeg broja dugotrajnih bolovanja.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79.584,25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potraživanje za plaću, materijalna prava, naknadu za nezapošljavanje invalida, knjigu "Herojski Vukovar" i prehranu čija je obveza evidentiranja uvedena od 1.1.2025. godine novim Pravilnikom o proračunskom računovodstvu i Računskom planu.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w:t>
            </w:r>
          </w:p>
        </w:tc>
      </w:tr>
    </w:tbl>
    <w:p>
      <w:pPr>
        <w:spacing w:before="0" w:after="0"/>
      </w:pPr>
    </w:p>
    <w:p>
      <w:r>
        <w:t xml:space="preserve">Iznos se odnosi na izlazne račune za najam stambenih i poslovnih prostora koji su kupcima fakturirani kroz 2025. godinu, a ostali su nenaplaćeni.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73.836,42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1.1.2025. se odnosi na obračunatu plaću i materijalna prava za prosinac 2024. godine za zaposlenike. Podskupina računa 193 Kontinuirani rashodi budućih razdoblja je primjenom novog Pravilnika o proračunskom računovodstvu i Računskom planu ukinuta pa stanje 31.12.2025. iznosi 0,00 eura.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promjene u načinu evidentiranja i iskazivanja podataka primjenom novog Pravilnika o proračunskom računovodstvu i Računskom planu s podskupine 239 je s 1.1.2025.godine stanje 13,44 eura preneseno na novu podskupinu 276. </w:t>
      </w:r>
    </w:p>
    <w:p>
      <w:r>
        <w:t xml:space="preserve">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17.872,75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0,5</w:t>
            </w:r>
          </w:p>
        </w:tc>
      </w:tr>
    </w:tbl>
    <w:p>
      <w:pPr>
        <w:spacing w:before="0" w:after="0"/>
      </w:pPr>
    </w:p>
    <w:p>
      <w:r>
        <w:t xml:space="preserve"> Iznos obveza se odnosi na račune za koje će škola sredstva dobiti 2026. godine.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w:t>
            </w:r>
          </w:p>
        </w:tc>
      </w:tr>
    </w:tbl>
    <w:p>
      <w:pPr>
        <w:spacing w:before="0" w:after="0"/>
      </w:pPr>
    </w:p>
    <w:p>
      <w:r>
        <w:t xml:space="preserve">Obveza se odnosi na knjigu Herojski Vukovar čije je dospijeće 2026. godina.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Sve obveze podmirene su u 2025. godini.  Stanje na 1.1.2025. godine odnosi se na ulaganje za koje je račun zaprimljen krajem 2024.godine. Navedeni račun je podmiren 2025. godine.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Zbog promjene u načinu evidentiranja i iskazivanja podataka primjenom novog Pravilnika o proračunskom računovodstvu i Računskom planu s podskupine 239 je s 1.1.2025.godine stanje 13,44 eura preneseno na novu skupinu 27.  Iznos je 31.12.2025. veći zbog većeg broja dugotrajnih bolovanja nego što ih je bilo 1.1.2025. godine.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-2499,9</w:t>
            </w:r>
          </w:p>
        </w:tc>
      </w:tr>
    </w:tbl>
    <w:p>
      <w:pPr>
        <w:spacing w:before="0" w:after="0"/>
      </w:pPr>
    </w:p>
    <w:p>
      <w:r>
        <w:t xml:space="preserve">Preneseni višak je 2.563, 40 eur, pa je ukupan manjak  64.082,77 eur.</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1148,8</w:t>
            </w:r>
          </w:p>
        </w:tc>
      </w:tr>
    </w:tbl>
    <w:p>
      <w:pPr>
        <w:spacing w:before="0" w:after="0"/>
      </w:pPr>
    </w:p>
    <w:p>
      <w:r>
        <w:t xml:space="preserve">Manjak prihoda i primitaka za 2025. godinu iznosi 64.082,77 eur, a sastoji se od manjka prihoda poslovanja u iznosu od 62.253,29 eur i manjka prihoda od nefinancijske imovine u iznosu od 1.829,48 eur za koje će sredstva biti uplaćena u 2026. godini. </w:t>
      </w:r>
    </w:p>
    <w:p>
      <w:r>
        <w:t xml:space="preserve">Provedena je korekcija rezultata zbog koje su različiti podaci u obrascu PR-RAS i obrascu Bilanca.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je 2024. godine krenula u postupak dogradnje građevine jednodijelne sportske dvorane za koju je trebala provesti jednostavnu nabavu za izradu projektno-tehničke dokumentacije. Odabrani ponuđač je sa Školom sklopio Ugovor za usluge izrade projektno-tehničke dokumentacije za dogradnju građevine jednodijelne sportske dvorane uz Osnovnu školu Ivana Rangera Kamenica. Izvršitelj je Školi dostavio Zadužnicu kao instrument jamstva za uredno ispunjenje Ugovora. Usluga prema Ugovoru je izvršena tijekom izvještajne godine.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koje se ne može definirati po stupnju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r>
        <w:t xml:space="preserve">Iznos se odnosi na rashode provedbe projekta „Školski medni dan 2025.“ Smanjenje od 16,70 % je zbog broja učenika u prvom razredu. U prethodnom izvještajnom razdoblju je u prvom razredu bilo ukupno 12 učenika, dok je u izvještajnom razdoblju tekuće godine  ukupno 10 učenika.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w:t>
            </w:r>
          </w:p>
        </w:tc>
      </w:tr>
    </w:tbl>
    <w:p>
      <w:pPr>
        <w:spacing w:before="0" w:after="0"/>
      </w:pPr>
    </w:p>
    <w:p>
      <w:r>
        <w:t xml:space="preserve">Iznos od 210,00 eura se odnosi na prethodni pregled radi utvrđivanja radne sposobnosti prije zaposlenja za 3 pomoćnice u nastavi, te je iz tog razloga iznos viši u odnosu na izvještajno razdoblje prethodne godine. Preostali iznos od 325,00 eura se odnosi na nabavu menstrualnih higijenskih potrepština.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povećanja je došlo zbog knjiga "Politika za svakoga", "Etnografija Hrvatskoga zagorja i 116 etno priča" i  "RH i Domovinski rat 1990.-1995." koje su dobivene od Varaždinske županije za opremu školske knjižnice.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101.710,87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odgovara stanju obveza na kraju izvještajnog razdoblja 01.01.2024.-31.12.2024. godine.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konto 276120 Obveze proračunskih korisnika za povrat u proračun – bolovanje HZZO.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konto 276110 Obveze proračunskih korisnika za povrat u proračun za povrat poreza po konačnom obračunu i za više isplaćene doprinose u obračunu privremene nesposobnosti za rad do 42 dana koja je kasnije korekcijom isplaćena kao ozljeda na radu.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1.185.027,36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Uz obveze koje su nastale u izvještajnom razdoblju podmirene su i sve prenesene obveze iz prethodne proračunske godine.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refundacije naknade za bolovanje od HZZO-a.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konto 276110 Obveze proračunskih korisnika za povrat u proračun za povrat poreza po konačnom obračunu.</w:t>
      </w:r>
    </w:p>
    <w:p>
      <w:r>
        <w:t xml:space="preserv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dospjelih obveza je 3.597,93 eura, a odnosi se na ulazne račune za materijalne rashode koji su zaprimljeni nakon dospijeća. Svi računi će biti plaćeni u 2026. godini. </w:t>
      </w:r>
    </w:p>
    <w:p>
      <w:r>
        <w:t xml:space="preserv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 Prekoračenje 61 do 180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D232B</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Uskladom otvorenih stavki na dan 31.12.2025. godine dobavljač je primijetio da nemamo evidentiran jedan račun kojem je dospijeće bilo u listopadu 2025. godine. Račun je zaprimljen u 2026. godini i biti će plaćen u 2026. godini.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više isplaćene doprinose u obračunu privremene nesposobnosti za rad do 42 dana koja je kasnije korekcijom isplaćena kao ozljeda na radu. </w:t>
      </w:r>
    </w:p>
    <w:p/>
    <w:p>
      <w:pPr>
        <w:jc w:val="center"/>
        <w:pStyle w:val="Normal"/>
        <w:spacing w:line="240" w:lineRule="auto"/>
        <w:keepNext/>
      </w:pPr>
      <w:r>
        <w:rPr>
          <w:sz w:val="28"/>
          <w:rFonts w:ascii="Times New Roman" w:hAnsi="Times New Roman"/>
        </w:rPr>
        <w:t xml:space="preserve">Bilješka 42.</w:t>
      </w:r>
    </w:p>
    <w:p>
      <w:pPr>
        <w:jc w:val="both"/>
        <w:pStyle w:val="Normal"/>
        <w:spacing w:line="240" w:lineRule="auto"/>
      </w:pPr>
      <w:r>
        <w:rPr>
          <w:b/>
          <w:sz w:val="24"/>
          <w:rFonts w:ascii="Times New Roman" w:hAnsi="Times New Roman"/>
        </w:rPr>
        <w:t xml:space="preserve">EU izvještaj</w:t>
      </w:r>
    </w:p>
    <w:p>
      <w:r>
        <w:t xml:space="preserve">Prihodi polovanja u iznosu od 23.227,61 eura i rashodi poslovanja u iznosu od 27.121,78 eura odnose se na plaću i ostala materijalna prava koja ostvaruju asistenti u nastavi preko projekta "I ti možeš".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d5579ec2c964460" /></Relationships>
</file>